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55" w:rsidRDefault="006C2555" w:rsidP="00E86C71">
      <w:pPr>
        <w:widowControl w:val="0"/>
        <w:autoSpaceDE w:val="0"/>
        <w:jc w:val="right"/>
        <w:rPr>
          <w:b/>
          <w:bCs/>
          <w:sz w:val="28"/>
          <w:szCs w:val="28"/>
        </w:rPr>
      </w:pPr>
    </w:p>
    <w:p w:rsidR="006C2555" w:rsidRDefault="006C2555" w:rsidP="00E86C71">
      <w:pPr>
        <w:widowControl w:val="0"/>
        <w:autoSpaceDE w:val="0"/>
        <w:jc w:val="right"/>
        <w:rPr>
          <w:b/>
          <w:bCs/>
          <w:sz w:val="28"/>
          <w:szCs w:val="28"/>
        </w:rPr>
      </w:pPr>
    </w:p>
    <w:p w:rsidR="006C2555" w:rsidRDefault="006C2555" w:rsidP="00E86C71">
      <w:pPr>
        <w:widowControl w:val="0"/>
        <w:autoSpaceDE w:val="0"/>
        <w:jc w:val="right"/>
        <w:rPr>
          <w:b/>
          <w:bCs/>
          <w:sz w:val="28"/>
          <w:szCs w:val="28"/>
        </w:rPr>
      </w:pPr>
    </w:p>
    <w:p w:rsidR="006C2555" w:rsidRDefault="006C2555" w:rsidP="00E86C71">
      <w:pPr>
        <w:widowControl w:val="0"/>
        <w:autoSpaceDE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melléklet</w:t>
      </w:r>
    </w:p>
    <w:p w:rsidR="006C2555" w:rsidRPr="007E5DDC" w:rsidRDefault="006C2555" w:rsidP="00E86C71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7E5DDC">
        <w:rPr>
          <w:b/>
          <w:bCs/>
          <w:sz w:val="28"/>
          <w:szCs w:val="28"/>
        </w:rPr>
        <w:t>BESZÁMOLÓ</w:t>
      </w:r>
    </w:p>
    <w:p w:rsidR="006C2555" w:rsidRPr="000D7C0F" w:rsidRDefault="006C2555" w:rsidP="00A22378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a 2019. évi gyermekvédelmi és gyermekjóléti feladatok ellátásáról</w:t>
      </w:r>
    </w:p>
    <w:p w:rsidR="006C2555" w:rsidRDefault="006C2555" w:rsidP="00CD093D">
      <w:pPr>
        <w:widowControl w:val="0"/>
        <w:autoSpaceDE w:val="0"/>
        <w:jc w:val="both"/>
        <w:rPr>
          <w:b/>
          <w:bCs/>
        </w:rPr>
      </w:pPr>
    </w:p>
    <w:p w:rsidR="006C2555" w:rsidRPr="007E5DDC" w:rsidRDefault="006C2555" w:rsidP="00CD093D">
      <w:pPr>
        <w:widowControl w:val="0"/>
        <w:autoSpaceDE w:val="0"/>
        <w:jc w:val="both"/>
        <w:rPr>
          <w:b/>
          <w:bCs/>
          <w:sz w:val="28"/>
          <w:szCs w:val="28"/>
        </w:rPr>
      </w:pPr>
      <w:r w:rsidRPr="007E5DDC">
        <w:rPr>
          <w:b/>
          <w:bCs/>
          <w:sz w:val="28"/>
          <w:szCs w:val="28"/>
        </w:rPr>
        <w:t xml:space="preserve">I. </w:t>
      </w:r>
    </w:p>
    <w:p w:rsidR="006C2555" w:rsidRPr="007E5DDC" w:rsidRDefault="006C2555" w:rsidP="00CD093D">
      <w:pPr>
        <w:widowControl w:val="0"/>
        <w:autoSpaceDE w:val="0"/>
        <w:jc w:val="both"/>
        <w:rPr>
          <w:sz w:val="28"/>
          <w:szCs w:val="28"/>
          <w:u w:val="single"/>
        </w:rPr>
      </w:pPr>
      <w:r w:rsidRPr="007E5DDC">
        <w:rPr>
          <w:b/>
          <w:bCs/>
          <w:sz w:val="28"/>
          <w:szCs w:val="28"/>
          <w:u w:val="single"/>
        </w:rPr>
        <w:t>Borzavár község demográfiai mutatói:</w:t>
      </w:r>
      <w:r w:rsidRPr="007E5DDC">
        <w:rPr>
          <w:sz w:val="28"/>
          <w:szCs w:val="28"/>
          <w:u w:val="single"/>
        </w:rPr>
        <w:t xml:space="preserve"> </w:t>
      </w:r>
    </w:p>
    <w:p w:rsidR="006C2555" w:rsidRDefault="006C2555" w:rsidP="002336D0">
      <w:pPr>
        <w:widowControl w:val="0"/>
        <w:autoSpaceDE w:val="0"/>
        <w:jc w:val="center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14"/>
        <w:gridCol w:w="1165"/>
        <w:gridCol w:w="1134"/>
        <w:gridCol w:w="1134"/>
        <w:gridCol w:w="1275"/>
        <w:gridCol w:w="1134"/>
        <w:gridCol w:w="1144"/>
      </w:tblGrid>
      <w:tr w:rsidR="006C2555" w:rsidTr="0083069E">
        <w:trPr>
          <w:trHeight w:val="262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2018.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Pr="00456AEE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456AEE"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  <w:t>2019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6C2555" w:rsidTr="0083069E">
        <w:trPr>
          <w:trHeight w:val="581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Állandó lakosságszám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752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761</w:t>
            </w:r>
          </w:p>
        </w:tc>
      </w:tr>
      <w:tr w:rsidR="006C2555" w:rsidTr="0083069E">
        <w:trPr>
          <w:trHeight w:val="3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0-14 éves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113</w:t>
            </w:r>
          </w:p>
        </w:tc>
      </w:tr>
      <w:tr w:rsidR="006C2555" w:rsidTr="0083069E">
        <w:trPr>
          <w:trHeight w:val="319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14-18 éves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</w:tr>
      <w:tr w:rsidR="006C2555" w:rsidTr="0083069E">
        <w:trPr>
          <w:trHeight w:val="509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0-18 éves összesen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140</w:t>
            </w:r>
          </w:p>
        </w:tc>
      </w:tr>
      <w:tr w:rsidR="006C2555" w:rsidTr="0083069E">
        <w:trPr>
          <w:trHeight w:val="581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0-18 évesek aránya %-ban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18,62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5" w:rsidRDefault="006C2555" w:rsidP="005108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18,40</w:t>
            </w:r>
          </w:p>
        </w:tc>
      </w:tr>
    </w:tbl>
    <w:p w:rsidR="006C2555" w:rsidRDefault="006C2555" w:rsidP="005108BD">
      <w:pPr>
        <w:widowControl w:val="0"/>
        <w:autoSpaceDE w:val="0"/>
        <w:jc w:val="center"/>
      </w:pPr>
    </w:p>
    <w:p w:rsidR="006C2555" w:rsidRDefault="006C2555" w:rsidP="00CD093D">
      <w:pPr>
        <w:widowControl w:val="0"/>
        <w:autoSpaceDE w:val="0"/>
        <w:jc w:val="both"/>
      </w:pPr>
      <w:r>
        <w:t>A lakosság száma, valamint a településen élő 18 év alattiak száma folyamatos csökkenést mutatott 2017. évig, majd 2018. évtől emelkedett, 2019. évre minimális csökkenést mutat az állandó lakosság számához képest.</w:t>
      </w:r>
    </w:p>
    <w:p w:rsidR="006C2555" w:rsidRPr="005A7761" w:rsidRDefault="006C2555" w:rsidP="00CD093D">
      <w:pPr>
        <w:widowControl w:val="0"/>
        <w:autoSpaceDE w:val="0"/>
        <w:jc w:val="both"/>
      </w:pPr>
    </w:p>
    <w:p w:rsidR="006C2555" w:rsidRDefault="006C2555" w:rsidP="00007F6F">
      <w:pPr>
        <w:widowControl w:val="0"/>
        <w:autoSpaceDE w:val="0"/>
        <w:jc w:val="both"/>
      </w:pPr>
    </w:p>
    <w:p w:rsidR="006C2555" w:rsidRPr="00007F6F" w:rsidRDefault="006C2555" w:rsidP="00007F6F">
      <w:pPr>
        <w:widowControl w:val="0"/>
        <w:autoSpaceDE w:val="0"/>
        <w:jc w:val="both"/>
        <w:rPr>
          <w:b/>
        </w:rPr>
      </w:pPr>
      <w:r w:rsidRPr="00007F6F">
        <w:t>A Borzavári Német Nemzetiségi Nyelvokta</w:t>
      </w:r>
      <w:r>
        <w:t xml:space="preserve">tó Általános Iskolában a 2019. október 1-jei állapot szerint </w:t>
      </w:r>
      <w:r>
        <w:rPr>
          <w:b/>
          <w:bCs/>
        </w:rPr>
        <w:t>95</w:t>
      </w:r>
      <w:r w:rsidRPr="00007F6F">
        <w:rPr>
          <w:b/>
          <w:bCs/>
        </w:rPr>
        <w:t xml:space="preserve"> gyermek tanul</w:t>
      </w:r>
      <w:r w:rsidRPr="00007F6F">
        <w:rPr>
          <w:bCs/>
        </w:rPr>
        <w:t xml:space="preserve">, ebből </w:t>
      </w:r>
      <w:r>
        <w:rPr>
          <w:b/>
          <w:bCs/>
        </w:rPr>
        <w:t>50</w:t>
      </w:r>
      <w:r w:rsidRPr="00007F6F">
        <w:rPr>
          <w:b/>
          <w:bCs/>
        </w:rPr>
        <w:t xml:space="preserve"> borzavári,</w:t>
      </w:r>
      <w:r w:rsidRPr="00007F6F">
        <w:rPr>
          <w:bCs/>
        </w:rPr>
        <w:t xml:space="preserve"> 40 porvai, 4 </w:t>
      </w:r>
      <w:r>
        <w:rPr>
          <w:bCs/>
        </w:rPr>
        <w:t xml:space="preserve">zirci és 1 eplényi gyermek tanult. </w:t>
      </w:r>
    </w:p>
    <w:p w:rsidR="006C2555" w:rsidRPr="005A7761" w:rsidRDefault="006C2555" w:rsidP="005A7761">
      <w:pPr>
        <w:jc w:val="both"/>
        <w:rPr>
          <w:b/>
        </w:rPr>
      </w:pPr>
    </w:p>
    <w:p w:rsidR="006C2555" w:rsidRDefault="006C2555" w:rsidP="00FC27FB">
      <w:pPr>
        <w:ind w:right="-2"/>
        <w:jc w:val="both"/>
        <w:rPr>
          <w:b/>
        </w:rPr>
      </w:pPr>
      <w:r>
        <w:t xml:space="preserve">A </w:t>
      </w:r>
      <w:r>
        <w:rPr>
          <w:b/>
          <w:u w:val="single"/>
        </w:rPr>
        <w:t>Zirci Benedek Elek Óvoda és Bölcsőde</w:t>
      </w:r>
      <w:r>
        <w:rPr>
          <w:u w:val="single"/>
        </w:rPr>
        <w:t xml:space="preserve"> </w:t>
      </w:r>
      <w:r>
        <w:t xml:space="preserve">(2013. július 1. napjától a Zirc és Lókút Óvodatársulás fenntartásában működik) 2015. szeptember 1. napjától „átszervezésen” esett át: Borzavár Községi Önkormányzat által fenntartott Borzavári Manókert Óvoda is a zirci óvoda (mint bázisintézmény) tagóvodája lett azáltal, hogy Borzavár Községi Önkormányzat csatlakozott a társuláshoz. Az intézményben 2015. augusztus 31-ig </w:t>
      </w:r>
      <w:r>
        <w:rPr>
          <w:b/>
        </w:rPr>
        <w:t>11 óvodai csoport</w:t>
      </w:r>
      <w:r>
        <w:t xml:space="preserve"> (10 csoport a zirci bázisintézményben, 1 csoport a lókúti tagintézményben) 2015. szeptember 1. napjától összesen </w:t>
      </w:r>
      <w:r>
        <w:rPr>
          <w:b/>
        </w:rPr>
        <w:t>12 óvodai csoport</w:t>
      </w:r>
      <w:r>
        <w:t xml:space="preserve"> (10 csoport a zirci bázisintézményben, </w:t>
      </w:r>
      <w:r w:rsidRPr="00FC27FB">
        <w:t>1 csoport a Lókúti Tagóvoda</w:t>
      </w:r>
      <w:r>
        <w:t xml:space="preserve"> és </w:t>
      </w:r>
      <w:r w:rsidRPr="00FC27FB">
        <w:rPr>
          <w:b/>
        </w:rPr>
        <w:t>1 csoport a Borzavári Manókert Óvoda tagintézményben</w:t>
      </w:r>
      <w:r>
        <w:t xml:space="preserve">) működött, melyben - a 2019. október 1-jei statisztika alapján - összesen </w:t>
      </w:r>
      <w:r>
        <w:rPr>
          <w:b/>
        </w:rPr>
        <w:t xml:space="preserve">264 </w:t>
      </w:r>
      <w:r>
        <w:rPr>
          <w:b/>
          <w:bCs/>
        </w:rPr>
        <w:t xml:space="preserve">gyermeket </w:t>
      </w:r>
      <w:r>
        <w:rPr>
          <w:bCs/>
        </w:rPr>
        <w:t xml:space="preserve">(226 gyermeket a zirci    bázisintézményben és </w:t>
      </w:r>
      <w:r w:rsidRPr="00FC27FB">
        <w:rPr>
          <w:bCs/>
        </w:rPr>
        <w:t>18 gyermeket a lókúti</w:t>
      </w:r>
      <w:r>
        <w:rPr>
          <w:bCs/>
        </w:rPr>
        <w:t xml:space="preserve"> és </w:t>
      </w:r>
      <w:r w:rsidRPr="00FC27FB">
        <w:rPr>
          <w:b/>
          <w:bCs/>
        </w:rPr>
        <w:t>20 gyermeket a borzavári tagintézményben</w:t>
      </w:r>
      <w:r>
        <w:rPr>
          <w:bCs/>
        </w:rPr>
        <w:t>)</w:t>
      </w:r>
      <w:r>
        <w:rPr>
          <w:b/>
          <w:bCs/>
        </w:rPr>
        <w:t xml:space="preserve"> gondoztak. Az engedélyezett maximális gyermeklétszám: </w:t>
      </w:r>
      <w:r>
        <w:rPr>
          <w:bCs/>
        </w:rPr>
        <w:t>250 fő a zirci bázisintézményben, és</w:t>
      </w:r>
      <w:r>
        <w:rPr>
          <w:b/>
          <w:bCs/>
        </w:rPr>
        <w:t xml:space="preserve"> 20 fő a lókúti </w:t>
      </w:r>
      <w:r>
        <w:rPr>
          <w:bCs/>
        </w:rPr>
        <w:t>és 25 fő a borzavári</w:t>
      </w:r>
      <w:r>
        <w:rPr>
          <w:b/>
          <w:bCs/>
        </w:rPr>
        <w:t xml:space="preserve"> tagintézményben. </w:t>
      </w:r>
      <w:r>
        <w:t xml:space="preserve">Óvodáztatási körzet kiterjed: </w:t>
      </w:r>
      <w:r>
        <w:rPr>
          <w:b/>
        </w:rPr>
        <w:t>Zirc város, Lókút és Borzavár község közigazgatási területére, valamint a Zirc és Lókút Óvodatársulással köznevelési szerződést kötő település közigazgatási területére (jelenleg Pénzesgyőr községre).</w:t>
      </w:r>
    </w:p>
    <w:p w:rsidR="006C2555" w:rsidRDefault="006C2555" w:rsidP="00FC27FB">
      <w:pPr>
        <w:rPr>
          <w:color w:val="FF0000"/>
        </w:rPr>
      </w:pPr>
    </w:p>
    <w:p w:rsidR="006C2555" w:rsidRDefault="006C2555" w:rsidP="00CD093D">
      <w:pPr>
        <w:widowControl w:val="0"/>
        <w:autoSpaceDE w:val="0"/>
        <w:jc w:val="both"/>
        <w:rPr>
          <w:b/>
          <w:bCs/>
        </w:rPr>
      </w:pPr>
    </w:p>
    <w:p w:rsidR="006C2555" w:rsidRPr="007E5DDC" w:rsidRDefault="006C2555" w:rsidP="00CD093D">
      <w:pPr>
        <w:widowControl w:val="0"/>
        <w:autoSpaceDE w:val="0"/>
        <w:jc w:val="both"/>
        <w:rPr>
          <w:b/>
          <w:sz w:val="28"/>
          <w:szCs w:val="28"/>
        </w:rPr>
      </w:pPr>
      <w:r w:rsidRPr="007E5DDC">
        <w:rPr>
          <w:b/>
          <w:sz w:val="28"/>
          <w:szCs w:val="28"/>
        </w:rPr>
        <w:t>II.</w:t>
      </w:r>
    </w:p>
    <w:p w:rsidR="006C2555" w:rsidRPr="00986D36" w:rsidRDefault="006C2555" w:rsidP="00CD093D">
      <w:pPr>
        <w:widowControl w:val="0"/>
        <w:autoSpaceDE w:val="0"/>
        <w:jc w:val="both"/>
        <w:rPr>
          <w:b/>
          <w:bCs/>
          <w:sz w:val="28"/>
          <w:szCs w:val="28"/>
          <w:u w:val="single"/>
        </w:rPr>
      </w:pPr>
      <w:r w:rsidRPr="00986D36">
        <w:rPr>
          <w:b/>
          <w:bCs/>
          <w:sz w:val="28"/>
          <w:szCs w:val="28"/>
          <w:u w:val="single"/>
        </w:rPr>
        <w:t>201</w:t>
      </w:r>
      <w:r>
        <w:rPr>
          <w:b/>
          <w:bCs/>
          <w:sz w:val="28"/>
          <w:szCs w:val="28"/>
          <w:u w:val="single"/>
        </w:rPr>
        <w:t>9</w:t>
      </w:r>
      <w:r w:rsidRPr="00986D36">
        <w:rPr>
          <w:b/>
          <w:bCs/>
          <w:sz w:val="28"/>
          <w:szCs w:val="28"/>
          <w:u w:val="single"/>
        </w:rPr>
        <w:t>. évben az önkormányzat által nyújtott pénzbeli, természetbeni ellátások biztosítása, hatósági intézkedések:</w:t>
      </w:r>
    </w:p>
    <w:p w:rsidR="006C2555" w:rsidRPr="00986D36" w:rsidRDefault="006C2555" w:rsidP="00CD093D">
      <w:pPr>
        <w:widowControl w:val="0"/>
        <w:autoSpaceDE w:val="0"/>
        <w:jc w:val="both"/>
        <w:rPr>
          <w:b/>
          <w:bCs/>
          <w:sz w:val="28"/>
          <w:szCs w:val="28"/>
          <w:u w:val="single"/>
        </w:rPr>
      </w:pPr>
    </w:p>
    <w:p w:rsidR="006C2555" w:rsidRPr="00986D36" w:rsidRDefault="006C2555" w:rsidP="00CD093D">
      <w:pPr>
        <w:suppressAutoHyphens w:val="0"/>
        <w:autoSpaceDE w:val="0"/>
        <w:autoSpaceDN w:val="0"/>
        <w:adjustRightInd w:val="0"/>
        <w:jc w:val="both"/>
        <w:rPr>
          <w:i/>
          <w:lang w:eastAsia="hu-HU"/>
        </w:rPr>
      </w:pPr>
      <w:r w:rsidRPr="00986D36">
        <w:rPr>
          <w:b/>
        </w:rPr>
        <w:t>1./</w:t>
      </w:r>
      <w:r w:rsidRPr="00986D36">
        <w:t xml:space="preserve"> </w:t>
      </w:r>
      <w:r w:rsidRPr="00986D36">
        <w:rPr>
          <w:b/>
          <w:iCs/>
        </w:rPr>
        <w:t>A települési önkormányzat jegyzője megállapítja</w:t>
      </w:r>
      <w:r w:rsidRPr="00986D36">
        <w:rPr>
          <w:iCs/>
        </w:rPr>
        <w:t xml:space="preserve"> – </w:t>
      </w:r>
      <w:r w:rsidRPr="00986D36">
        <w:rPr>
          <w:bCs/>
        </w:rPr>
        <w:t>a gyermekek védelméről és a gyámügyi igazgatásról szóló</w:t>
      </w:r>
      <w:r w:rsidRPr="00986D36">
        <w:t xml:space="preserve"> 1997. évi XXXI. törvény (a továbbiakban: Gyvt.) rendelkezéseinek megfelelően -</w:t>
      </w:r>
      <w:r w:rsidRPr="00986D36">
        <w:rPr>
          <w:iCs/>
        </w:rPr>
        <w:t xml:space="preserve"> </w:t>
      </w:r>
      <w:r w:rsidRPr="00986D36">
        <w:rPr>
          <w:b/>
          <w:iCs/>
        </w:rPr>
        <w:t>a</w:t>
      </w:r>
      <w:r w:rsidRPr="00986D36">
        <w:rPr>
          <w:iCs/>
        </w:rPr>
        <w:t xml:space="preserve"> </w:t>
      </w:r>
      <w:r w:rsidRPr="00986D36">
        <w:rPr>
          <w:b/>
          <w:bCs/>
          <w:iCs/>
        </w:rPr>
        <w:t xml:space="preserve">gyermek </w:t>
      </w:r>
      <w:r w:rsidRPr="00986D36">
        <w:rPr>
          <w:b/>
          <w:bCs/>
          <w:iCs/>
          <w:u w:val="single"/>
        </w:rPr>
        <w:t>rendszeres gyermekvédelmi kedvezményre való jogosultság</w:t>
      </w:r>
      <w:r w:rsidRPr="00986D36">
        <w:rPr>
          <w:b/>
          <w:bCs/>
          <w:iCs/>
        </w:rPr>
        <w:t>át. A rendszeres gyermekvédelmi kedvezményt a központi költségvetés biztosítja.</w:t>
      </w:r>
    </w:p>
    <w:p w:rsidR="006C2555" w:rsidRPr="00986D36" w:rsidRDefault="006C2555" w:rsidP="00CD093D">
      <w:pPr>
        <w:widowControl w:val="0"/>
        <w:autoSpaceDE w:val="0"/>
        <w:jc w:val="both"/>
        <w:rPr>
          <w:iCs/>
        </w:rPr>
      </w:pPr>
    </w:p>
    <w:p w:rsidR="006C2555" w:rsidRPr="00542C5C" w:rsidRDefault="006C2555" w:rsidP="00CD093D">
      <w:pPr>
        <w:widowControl w:val="0"/>
        <w:autoSpaceDE w:val="0"/>
        <w:jc w:val="both"/>
        <w:rPr>
          <w:b/>
          <w:iCs/>
        </w:rPr>
      </w:pPr>
      <w:r w:rsidRPr="00542C5C">
        <w:rPr>
          <w:iCs/>
        </w:rPr>
        <w:t xml:space="preserve">Rendszeres gyermekvédelmi kedvezményt a jegyző </w:t>
      </w:r>
      <w:r w:rsidRPr="00542C5C">
        <w:rPr>
          <w:b/>
          <w:iCs/>
        </w:rPr>
        <w:t>4</w:t>
      </w:r>
      <w:r w:rsidRPr="00542C5C">
        <w:rPr>
          <w:b/>
          <w:bCs/>
          <w:iCs/>
        </w:rPr>
        <w:t xml:space="preserve"> családban 7 gyermek részére</w:t>
      </w:r>
      <w:r w:rsidRPr="00542C5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542C5C">
        <w:rPr>
          <w:b/>
          <w:bCs/>
          <w:iCs/>
        </w:rPr>
        <w:t>állapított</w:t>
      </w:r>
      <w:r w:rsidRPr="00542C5C">
        <w:rPr>
          <w:iCs/>
        </w:rPr>
        <w:t xml:space="preserve"> meg. Számukra a jogszabályi rendelkezések alapján pénzbeli támogatás került</w:t>
      </w:r>
      <w:r w:rsidRPr="00542C5C">
        <w:rPr>
          <w:b/>
          <w:iCs/>
        </w:rPr>
        <w:t xml:space="preserve"> kifizetésre 105 eFt értékben. (ebből alap összegű támogatás: 66 eFt, emelt összegű: 39 eFt).</w:t>
      </w:r>
      <w:r w:rsidRPr="00542C5C">
        <w:rPr>
          <w:iCs/>
        </w:rPr>
        <w:t xml:space="preserve"> Elutasításra nem került egyetlen kérelmező sem.</w:t>
      </w:r>
      <w:r>
        <w:rPr>
          <w:iCs/>
        </w:rPr>
        <w:t xml:space="preserve"> </w:t>
      </w:r>
    </w:p>
    <w:p w:rsidR="006C2555" w:rsidRPr="00986D36" w:rsidRDefault="006C2555" w:rsidP="00CD093D">
      <w:pPr>
        <w:widowControl w:val="0"/>
        <w:autoSpaceDE w:val="0"/>
        <w:jc w:val="both"/>
        <w:rPr>
          <w:b/>
          <w:iCs/>
        </w:rPr>
      </w:pPr>
    </w:p>
    <w:p w:rsidR="006C2555" w:rsidRPr="00542C5C" w:rsidRDefault="006C2555" w:rsidP="00CD093D">
      <w:pPr>
        <w:widowControl w:val="0"/>
        <w:autoSpaceDE w:val="0"/>
        <w:jc w:val="both"/>
        <w:rPr>
          <w:b/>
          <w:iCs/>
        </w:rPr>
      </w:pPr>
      <w:r w:rsidRPr="00542C5C">
        <w:rPr>
          <w:b/>
          <w:iCs/>
        </w:rPr>
        <w:t>2019. december 31-én rendszeres gyermekvédelmi kedvezményben részesített családok száma a gyermekek száma szerint:</w:t>
      </w:r>
    </w:p>
    <w:p w:rsidR="006C2555" w:rsidRPr="00542C5C" w:rsidRDefault="006C2555" w:rsidP="003C28AC">
      <w:pPr>
        <w:widowControl w:val="0"/>
        <w:autoSpaceDE w:val="0"/>
        <w:jc w:val="center"/>
        <w:rPr>
          <w:b/>
          <w:iCs/>
        </w:rPr>
      </w:pPr>
    </w:p>
    <w:tbl>
      <w:tblPr>
        <w:tblW w:w="8180" w:type="dxa"/>
        <w:jc w:val="center"/>
        <w:tblCellMar>
          <w:left w:w="70" w:type="dxa"/>
          <w:right w:w="70" w:type="dxa"/>
        </w:tblCellMar>
        <w:tblLook w:val="0000"/>
      </w:tblPr>
      <w:tblGrid>
        <w:gridCol w:w="2160"/>
        <w:gridCol w:w="1520"/>
        <w:gridCol w:w="1520"/>
        <w:gridCol w:w="2020"/>
        <w:gridCol w:w="1030"/>
      </w:tblGrid>
      <w:tr w:rsidR="006C2555" w:rsidRPr="00542C5C" w:rsidTr="003C28AC">
        <w:trPr>
          <w:trHeight w:val="27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1 gyermek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2 gyermek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3 gyermek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4 vagy 5 gyermek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Összesen</w:t>
            </w:r>
          </w:p>
        </w:tc>
      </w:tr>
      <w:tr w:rsidR="006C2555" w:rsidRPr="00542C5C" w:rsidTr="003C28AC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4</w:t>
            </w:r>
          </w:p>
        </w:tc>
      </w:tr>
      <w:tr w:rsidR="006C2555" w:rsidRPr="00542C5C" w:rsidTr="003C28AC">
        <w:trPr>
          <w:trHeight w:val="270"/>
          <w:jc w:val="center"/>
        </w:trPr>
        <w:tc>
          <w:tcPr>
            <w:tcW w:w="8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ebből: gyermekét egyedülálló</w:t>
            </w:r>
          </w:p>
        </w:tc>
      </w:tr>
      <w:tr w:rsidR="006C2555" w:rsidRPr="00542C5C" w:rsidTr="003C28AC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2</w:t>
            </w:r>
          </w:p>
        </w:tc>
      </w:tr>
    </w:tbl>
    <w:p w:rsidR="006C2555" w:rsidRPr="00542C5C" w:rsidRDefault="006C2555" w:rsidP="00CD093D">
      <w:pPr>
        <w:widowControl w:val="0"/>
        <w:autoSpaceDE w:val="0"/>
        <w:jc w:val="both"/>
        <w:rPr>
          <w:b/>
          <w:iCs/>
        </w:rPr>
      </w:pPr>
    </w:p>
    <w:p w:rsidR="006C2555" w:rsidRPr="00542C5C" w:rsidRDefault="006C2555" w:rsidP="00CD093D">
      <w:pPr>
        <w:widowControl w:val="0"/>
        <w:autoSpaceDE w:val="0"/>
        <w:jc w:val="both"/>
        <w:rPr>
          <w:b/>
          <w:iCs/>
        </w:rPr>
      </w:pPr>
      <w:r w:rsidRPr="00542C5C">
        <w:rPr>
          <w:b/>
          <w:iCs/>
        </w:rPr>
        <w:t>2019. december 31-én rendszeres gyermekvédelmi kedvezményben jogosult gyermekek száma életkor szerint:</w:t>
      </w:r>
    </w:p>
    <w:p w:rsidR="006C2555" w:rsidRPr="00542C5C" w:rsidRDefault="006C2555" w:rsidP="003C28AC">
      <w:pPr>
        <w:widowControl w:val="0"/>
        <w:autoSpaceDE w:val="0"/>
        <w:jc w:val="center"/>
        <w:rPr>
          <w:b/>
          <w:iCs/>
        </w:rPr>
      </w:pPr>
    </w:p>
    <w:tbl>
      <w:tblPr>
        <w:tblW w:w="8180" w:type="dxa"/>
        <w:jc w:val="center"/>
        <w:tblCellMar>
          <w:left w:w="70" w:type="dxa"/>
          <w:right w:w="70" w:type="dxa"/>
        </w:tblCellMar>
        <w:tblLook w:val="0000"/>
      </w:tblPr>
      <w:tblGrid>
        <w:gridCol w:w="2160"/>
        <w:gridCol w:w="1520"/>
        <w:gridCol w:w="1520"/>
        <w:gridCol w:w="2020"/>
        <w:gridCol w:w="1030"/>
      </w:tblGrid>
      <w:tr w:rsidR="006C2555" w:rsidRPr="00542C5C" w:rsidTr="003C28AC">
        <w:trPr>
          <w:trHeight w:val="27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6 éves kor alatt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7-14 éves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15-18 éves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19 év feletti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Összesen</w:t>
            </w:r>
          </w:p>
        </w:tc>
      </w:tr>
      <w:tr w:rsidR="006C2555" w:rsidRPr="00542C5C" w:rsidTr="003C28AC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7</w:t>
            </w:r>
          </w:p>
        </w:tc>
      </w:tr>
      <w:tr w:rsidR="006C2555" w:rsidRPr="00542C5C" w:rsidTr="003C28AC">
        <w:trPr>
          <w:trHeight w:val="270"/>
          <w:jc w:val="center"/>
        </w:trPr>
        <w:tc>
          <w:tcPr>
            <w:tcW w:w="8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Ebből: tartósan beteg, fogyatékos</w:t>
            </w:r>
          </w:p>
        </w:tc>
      </w:tr>
      <w:tr w:rsidR="006C2555" w:rsidRPr="00542C5C" w:rsidTr="003C28AC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542C5C" w:rsidRDefault="006C2555" w:rsidP="003C28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42C5C">
              <w:rPr>
                <w:rFonts w:ascii="Arial" w:hAnsi="Arial" w:cs="Arial"/>
                <w:sz w:val="20"/>
                <w:szCs w:val="20"/>
                <w:lang w:eastAsia="hu-HU"/>
              </w:rPr>
              <w:t>1</w:t>
            </w:r>
          </w:p>
        </w:tc>
      </w:tr>
    </w:tbl>
    <w:p w:rsidR="006C2555" w:rsidRPr="00542C5C" w:rsidRDefault="006C2555" w:rsidP="00CD093D">
      <w:pPr>
        <w:widowControl w:val="0"/>
        <w:autoSpaceDE w:val="0"/>
        <w:jc w:val="both"/>
        <w:rPr>
          <w:b/>
          <w:iCs/>
        </w:rPr>
      </w:pPr>
    </w:p>
    <w:p w:rsidR="006C2555" w:rsidRPr="00007F6F" w:rsidRDefault="006C2555" w:rsidP="00CD093D">
      <w:pPr>
        <w:widowControl w:val="0"/>
        <w:autoSpaceDE w:val="0"/>
        <w:jc w:val="both"/>
        <w:rPr>
          <w:b/>
          <w:iCs/>
        </w:rPr>
      </w:pPr>
    </w:p>
    <w:p w:rsidR="006C2555" w:rsidRPr="00986D36" w:rsidRDefault="006C2555" w:rsidP="00CD093D">
      <w:pPr>
        <w:widowControl w:val="0"/>
        <w:autoSpaceDE w:val="0"/>
        <w:jc w:val="both"/>
        <w:rPr>
          <w:b/>
          <w:iCs/>
        </w:rPr>
      </w:pPr>
      <w:r w:rsidRPr="00986D36">
        <w:rPr>
          <w:b/>
          <w:iCs/>
        </w:rPr>
        <w:t>2./  Hátrányos helyzet, halmozottan hátrányos helyzet vizsgálata és megállapítása</w:t>
      </w:r>
    </w:p>
    <w:p w:rsidR="006C2555" w:rsidRPr="00986D36" w:rsidRDefault="006C2555" w:rsidP="00CD093D">
      <w:pPr>
        <w:widowControl w:val="0"/>
        <w:autoSpaceDE w:val="0"/>
        <w:jc w:val="both"/>
        <w:rPr>
          <w:iCs/>
        </w:rPr>
      </w:pPr>
      <w:r w:rsidRPr="00986D36">
        <w:rPr>
          <w:iCs/>
        </w:rPr>
        <w:t>A Gyvt 67/A. § (1)-(2) bekezdése az alábbiak szerint rendelkezik:</w:t>
      </w:r>
    </w:p>
    <w:p w:rsidR="006C2555" w:rsidRPr="00986D36" w:rsidRDefault="006C2555" w:rsidP="00625929">
      <w:pPr>
        <w:ind w:left="720" w:hanging="516"/>
        <w:jc w:val="both"/>
        <w:rPr>
          <w:i/>
          <w:u w:val="single"/>
        </w:rPr>
      </w:pPr>
      <w:r w:rsidRPr="00986D36">
        <w:t xml:space="preserve">„(1) </w:t>
      </w:r>
      <w:r w:rsidRPr="00986D36">
        <w:rPr>
          <w:b/>
        </w:rPr>
        <w:t>Hátrányos helyzetű</w:t>
      </w:r>
      <w:r w:rsidRPr="00986D36">
        <w:t xml:space="preserve"> </w:t>
      </w:r>
      <w:r w:rsidRPr="00986D36">
        <w:rPr>
          <w:i/>
        </w:rPr>
        <w:t xml:space="preserve">az a rendszeres gyermekvédelmi kedvezményre jogosult gyermek és nagykorúvá vált gyermek, aki esetében az alábbi </w:t>
      </w:r>
      <w:r w:rsidRPr="00986D36">
        <w:rPr>
          <w:i/>
          <w:u w:val="single"/>
        </w:rPr>
        <w:t>körülmények közül</w:t>
      </w:r>
      <w:r w:rsidRPr="00986D36">
        <w:rPr>
          <w:i/>
        </w:rPr>
        <w:t xml:space="preserve"> </w:t>
      </w:r>
      <w:r w:rsidRPr="00986D36">
        <w:rPr>
          <w:i/>
          <w:u w:val="single"/>
        </w:rPr>
        <w:t>egy fennáll:</w:t>
      </w:r>
    </w:p>
    <w:p w:rsidR="006C2555" w:rsidRPr="00986D36" w:rsidRDefault="006C2555" w:rsidP="00625929">
      <w:pPr>
        <w:ind w:left="540" w:hanging="336"/>
        <w:jc w:val="both"/>
      </w:pPr>
      <w:r w:rsidRPr="00986D36">
        <w:rPr>
          <w:i/>
          <w:iCs/>
        </w:rPr>
        <w:t xml:space="preserve">  a) </w:t>
      </w:r>
      <w:r w:rsidRPr="00986D36">
        <w:t>a szülő vagy a családbafogadó gyám alacsony iskolai végzettsége, ha a gyermeket együtt nevelő mindkét szülőről, a gyermeket egyedül nevelő szülőről vagy a családbafogadó gyámról - önkéntes nyilatkozata alapján - megállapítható, hogy a rendszeres gyermekvédelmi kedvezmény igénylésekor legfeljebb alapfokú iskolai végzettséggel rendelkezik,</w:t>
      </w:r>
    </w:p>
    <w:p w:rsidR="006C2555" w:rsidRPr="00986D36" w:rsidRDefault="006C2555" w:rsidP="00625929">
      <w:pPr>
        <w:ind w:left="540" w:hanging="336"/>
        <w:jc w:val="both"/>
      </w:pPr>
      <w:r w:rsidRPr="00986D36">
        <w:rPr>
          <w:i/>
          <w:iCs/>
        </w:rPr>
        <w:t xml:space="preserve"> b) </w:t>
      </w:r>
      <w:r w:rsidRPr="00986D36">
        <w:t>a szülő vagy a családbafogadó gyám alacsony foglalkoztatottsága, ha a gyermeket nevelő szülők bármelyikéről vagy a családbafogadó gyámról megállapítható, hogy a rendszeres gyermekvédelmi kedvezmény igénylésekor az Szt. 33. §-a szerinti aktív korúak ellátására jogosult vagy a rendszeres gyermekvédelmi kedvezmény igénylésének időpontját megelőző 16 hónapon belül legalább 12 hónapig álláskeresőként nyilvántartott személy,</w:t>
      </w:r>
    </w:p>
    <w:p w:rsidR="006C2555" w:rsidRPr="00986D36" w:rsidRDefault="006C2555" w:rsidP="00625929">
      <w:pPr>
        <w:ind w:left="540" w:hanging="336"/>
        <w:jc w:val="both"/>
      </w:pPr>
      <w:r w:rsidRPr="00986D36">
        <w:rPr>
          <w:i/>
          <w:iCs/>
        </w:rPr>
        <w:t xml:space="preserve">c) </w:t>
      </w:r>
      <w:r w:rsidRPr="00986D36">
        <w:t>a gyermek elégtelen lakókörnyezete, illetve lakáskörülményei, ha megállapítható, hogy a gyermek a településre vonatkozó integrált településfejlesztési stratégiában szegregátumnak nyilvánított lakókörnyezetben vagy félkomfortos, komfort nélküli vagy szükséglakásban, illetve olyan lakáskörülmények között él, ahol korlátozottan biztosítottak az egészséges fejlődéséhez szükséges feltételek.</w:t>
      </w:r>
    </w:p>
    <w:p w:rsidR="006C2555" w:rsidRPr="00986D36" w:rsidRDefault="006C2555" w:rsidP="00625929">
      <w:pPr>
        <w:ind w:firstLine="204"/>
        <w:jc w:val="both"/>
      </w:pPr>
      <w:r w:rsidRPr="00986D36">
        <w:t xml:space="preserve">(2) </w:t>
      </w:r>
      <w:r w:rsidRPr="00986D36">
        <w:rPr>
          <w:b/>
        </w:rPr>
        <w:t>Halmozottan hátrányos helyzetű</w:t>
      </w:r>
    </w:p>
    <w:p w:rsidR="006C2555" w:rsidRPr="00986D36" w:rsidRDefault="006C2555" w:rsidP="00625929">
      <w:pPr>
        <w:ind w:left="540" w:hanging="336"/>
        <w:jc w:val="both"/>
      </w:pPr>
      <w:r w:rsidRPr="00986D36">
        <w:rPr>
          <w:i/>
          <w:iCs/>
        </w:rPr>
        <w:t xml:space="preserve">a) </w:t>
      </w:r>
      <w:r w:rsidRPr="00986D36">
        <w:t xml:space="preserve">az a rendszeres gyermekvédelmi kedvezményre jogosult gyermek és nagykorúvá vált gyermek, aki esetében az (1) bekezdés </w:t>
      </w:r>
      <w:r w:rsidRPr="00986D36">
        <w:rPr>
          <w:i/>
          <w:iCs/>
        </w:rPr>
        <w:t xml:space="preserve">a)-c) </w:t>
      </w:r>
      <w:r w:rsidRPr="00986D36">
        <w:t xml:space="preserve">pontjaiban </w:t>
      </w:r>
      <w:r w:rsidRPr="00986D36">
        <w:rPr>
          <w:u w:val="single"/>
        </w:rPr>
        <w:t>meghatározott körülmények közül legalább</w:t>
      </w:r>
      <w:r w:rsidRPr="00986D36">
        <w:t xml:space="preserve"> </w:t>
      </w:r>
      <w:r w:rsidRPr="00986D36">
        <w:rPr>
          <w:u w:val="single"/>
        </w:rPr>
        <w:t>kettő fennáll</w:t>
      </w:r>
      <w:r w:rsidRPr="00986D36">
        <w:t>,</w:t>
      </w:r>
    </w:p>
    <w:p w:rsidR="006C2555" w:rsidRPr="00986D36" w:rsidRDefault="006C2555" w:rsidP="00625929">
      <w:pPr>
        <w:ind w:firstLine="204"/>
        <w:jc w:val="both"/>
      </w:pPr>
      <w:r w:rsidRPr="00986D36">
        <w:rPr>
          <w:i/>
          <w:iCs/>
        </w:rPr>
        <w:t xml:space="preserve">b) </w:t>
      </w:r>
      <w:r w:rsidRPr="00986D36">
        <w:t>a nevelésbe vett gyermek,</w:t>
      </w:r>
    </w:p>
    <w:p w:rsidR="006C2555" w:rsidRPr="00986D36" w:rsidRDefault="006C2555" w:rsidP="00625929">
      <w:pPr>
        <w:ind w:left="540" w:hanging="336"/>
        <w:jc w:val="both"/>
      </w:pPr>
      <w:r w:rsidRPr="00986D36">
        <w:rPr>
          <w:i/>
          <w:iCs/>
        </w:rPr>
        <w:t xml:space="preserve">c) </w:t>
      </w:r>
      <w:r w:rsidRPr="00986D36">
        <w:t>az utógondozói ellátásban részesülő és tanulói vagy hallgatói jogviszonyban álló fiatal felnőtt.”</w:t>
      </w:r>
    </w:p>
    <w:p w:rsidR="006C2555" w:rsidRPr="00986D36" w:rsidRDefault="006C2555" w:rsidP="00625929">
      <w:pPr>
        <w:ind w:left="540" w:hanging="336"/>
        <w:jc w:val="both"/>
      </w:pPr>
    </w:p>
    <w:p w:rsidR="006C2555" w:rsidRPr="00D37073" w:rsidRDefault="006C2555" w:rsidP="00625929">
      <w:pPr>
        <w:jc w:val="both"/>
        <w:rPr>
          <w:b/>
          <w:i/>
        </w:rPr>
      </w:pPr>
      <w:r w:rsidRPr="007F58DA">
        <w:rPr>
          <w:i/>
        </w:rPr>
        <w:t xml:space="preserve">Borzavár községben a rendszeres gyermekvédelmi kedvezményben részesülő családok közül </w:t>
      </w:r>
      <w:r w:rsidRPr="007F58DA">
        <w:rPr>
          <w:b/>
          <w:i/>
        </w:rPr>
        <w:t>3</w:t>
      </w:r>
      <w:r w:rsidRPr="007F58DA">
        <w:rPr>
          <w:i/>
        </w:rPr>
        <w:t xml:space="preserve"> gyermek szülője kérte a </w:t>
      </w:r>
      <w:r w:rsidRPr="007F58DA">
        <w:rPr>
          <w:b/>
          <w:i/>
        </w:rPr>
        <w:t>hátrányos helyzetének</w:t>
      </w:r>
      <w:r w:rsidRPr="007F58DA">
        <w:rPr>
          <w:i/>
        </w:rPr>
        <w:t xml:space="preserve"> megállapítását, mely a szülő alacsony iskolai végzettségre tekintettel lett megállapítva. </w:t>
      </w:r>
      <w:r w:rsidRPr="00D37073">
        <w:rPr>
          <w:b/>
          <w:i/>
        </w:rPr>
        <w:t>A gyámhivatal</w:t>
      </w:r>
      <w:r>
        <w:rPr>
          <w:b/>
          <w:i/>
        </w:rPr>
        <w:t xml:space="preserve"> 1 </w:t>
      </w:r>
      <w:r w:rsidRPr="00D37073">
        <w:rPr>
          <w:b/>
          <w:i/>
        </w:rPr>
        <w:t xml:space="preserve">gyermeket nevelésbe vett, erre tekintettel állapította meg a gyermek halmozottan hátrányos helyzetet. </w:t>
      </w:r>
      <w:r w:rsidRPr="00D37073">
        <w:rPr>
          <w:i/>
        </w:rPr>
        <w:t>2019. december 31. napján 1 halmozottan hátrányos helyzetű fiatal felnőtt volt a nyilvántartásban.</w:t>
      </w:r>
    </w:p>
    <w:p w:rsidR="006C2555" w:rsidRPr="007F58DA" w:rsidRDefault="006C2555" w:rsidP="001835D0">
      <w:pPr>
        <w:pStyle w:val="cf0agj"/>
        <w:spacing w:before="0" w:beforeAutospacing="0" w:after="0" w:afterAutospacing="0"/>
        <w:jc w:val="both"/>
        <w:rPr>
          <w:b/>
        </w:rPr>
      </w:pPr>
    </w:p>
    <w:p w:rsidR="006C2555" w:rsidRDefault="006C2555" w:rsidP="00CD093D">
      <w:pPr>
        <w:widowControl w:val="0"/>
        <w:autoSpaceDE w:val="0"/>
        <w:jc w:val="both"/>
        <w:rPr>
          <w:i/>
          <w:iCs/>
        </w:rPr>
      </w:pPr>
    </w:p>
    <w:p w:rsidR="006C2555" w:rsidRPr="00986D36" w:rsidRDefault="006C2555" w:rsidP="00CD093D">
      <w:pPr>
        <w:widowControl w:val="0"/>
        <w:autoSpaceDE w:val="0"/>
        <w:jc w:val="both"/>
        <w:rPr>
          <w:i/>
          <w:iCs/>
        </w:rPr>
      </w:pPr>
    </w:p>
    <w:p w:rsidR="006C2555" w:rsidRDefault="006C2555" w:rsidP="00561303">
      <w:pPr>
        <w:widowControl w:val="0"/>
        <w:autoSpaceDE w:val="0"/>
        <w:jc w:val="both"/>
        <w:rPr>
          <w:b/>
          <w:u w:val="single"/>
        </w:rPr>
      </w:pPr>
      <w:r w:rsidRPr="00986D36">
        <w:rPr>
          <w:b/>
        </w:rPr>
        <w:t xml:space="preserve">3./ </w:t>
      </w:r>
      <w:r w:rsidRPr="00986D36">
        <w:rPr>
          <w:b/>
          <w:u w:val="single"/>
        </w:rPr>
        <w:t>Rendkívüli települési támogatás</w:t>
      </w:r>
    </w:p>
    <w:p w:rsidR="006C2555" w:rsidRPr="00986D36" w:rsidRDefault="006C2555" w:rsidP="00561303">
      <w:pPr>
        <w:widowControl w:val="0"/>
        <w:autoSpaceDE w:val="0"/>
        <w:jc w:val="both"/>
        <w:rPr>
          <w:b/>
        </w:rPr>
      </w:pPr>
    </w:p>
    <w:p w:rsidR="006C2555" w:rsidRPr="00986D36" w:rsidRDefault="006C2555" w:rsidP="00561303">
      <w:pPr>
        <w:widowControl w:val="0"/>
        <w:autoSpaceDE w:val="0"/>
        <w:jc w:val="both"/>
      </w:pPr>
      <w:r w:rsidRPr="00986D36">
        <w:t xml:space="preserve">Borzavár Községi Önkormányzat Képviselő-testületének </w:t>
      </w:r>
      <w:r w:rsidRPr="00986D36">
        <w:rPr>
          <w:rFonts w:cs="Tahoma"/>
        </w:rPr>
        <w:t>a szociális, gyermekvédelmi és személyes gondoskodást nyújtó ellátásokról szóló 5/2015. (II. 27.) önkormányzati rendelet</w:t>
      </w:r>
      <w:r w:rsidRPr="00986D36">
        <w:t xml:space="preserve"> (a továbbiakban: Rendelet) alapján rendkívüli települési támogatást nyújtott az Önkormányzat azokat a gyermeket nevelő, vagy gyermekkel rendelkező személyeknek, akik</w:t>
      </w:r>
      <w:r w:rsidRPr="00986D36">
        <w:rPr>
          <w:iCs/>
        </w:rPr>
        <w:t xml:space="preserve"> </w:t>
      </w:r>
      <w:r w:rsidRPr="00986D36">
        <w:t xml:space="preserve">időszakosan vagy tartósan létfenntartási gonddal küzdenek. </w:t>
      </w:r>
    </w:p>
    <w:p w:rsidR="006C2555" w:rsidRPr="00986D36" w:rsidRDefault="006C2555" w:rsidP="0076693F">
      <w:pPr>
        <w:jc w:val="both"/>
        <w:rPr>
          <w:bCs/>
        </w:rPr>
      </w:pPr>
      <w:r w:rsidRPr="00986D36">
        <w:rPr>
          <w:b/>
        </w:rPr>
        <w:t xml:space="preserve">A hatáskör jogosultjának döntése alapján a rendkívüli települési támogatás természetben is nyújtható </w:t>
      </w:r>
      <w:r w:rsidRPr="00986D36">
        <w:rPr>
          <w:b/>
          <w:i/>
        </w:rPr>
        <w:t>(</w:t>
      </w:r>
      <w:r w:rsidRPr="00986D36">
        <w:rPr>
          <w:bCs/>
          <w:i/>
        </w:rPr>
        <w:t>Erzsébet-utalvány, élelmiszer, tankönyv és tanszer, továbbá közüzemi díj, intézményi és gyermekintézményi térítési díj intézmény számlájára történő közvetlen utalása, napi egy alkalommal a segélyezettnek becsomagolva eljuttatott ebéd, meleg étel formájában,</w:t>
      </w:r>
      <w:r w:rsidRPr="00986D36">
        <w:rPr>
          <w:i/>
        </w:rPr>
        <w:t xml:space="preserve"> a Családsegítő Szolgálat családgondozóin keresztül, a családgondozónak történő pénzbeli ellátás kifizetése útján és a segély céljának megjelölésével, a felhasználás számlával történő igazolásával</w:t>
      </w:r>
      <w:r w:rsidRPr="00986D36">
        <w:t>).</w:t>
      </w:r>
    </w:p>
    <w:p w:rsidR="006C2555" w:rsidRPr="00564748" w:rsidRDefault="006C2555" w:rsidP="00CD093D">
      <w:pPr>
        <w:widowControl w:val="0"/>
        <w:autoSpaceDE w:val="0"/>
        <w:jc w:val="both"/>
      </w:pPr>
    </w:p>
    <w:p w:rsidR="006C2555" w:rsidRPr="00542C5C" w:rsidRDefault="006C2555" w:rsidP="00CD093D">
      <w:pPr>
        <w:widowControl w:val="0"/>
        <w:autoSpaceDE w:val="0"/>
        <w:jc w:val="both"/>
      </w:pPr>
      <w:r w:rsidRPr="00542C5C">
        <w:t xml:space="preserve">Ezen támogatási formának összesen </w:t>
      </w:r>
      <w:r w:rsidRPr="00542C5C">
        <w:rPr>
          <w:b/>
        </w:rPr>
        <w:t>5</w:t>
      </w:r>
      <w:r w:rsidRPr="00542C5C">
        <w:t xml:space="preserve"> </w:t>
      </w:r>
      <w:r w:rsidRPr="00542C5C">
        <w:rPr>
          <w:b/>
          <w:bCs/>
          <w:iCs/>
        </w:rPr>
        <w:t>esetben 2 család 5 gyermeke részére folyósított 55 e Ft összegben.</w:t>
      </w:r>
      <w:r w:rsidRPr="00542C5C">
        <w:t xml:space="preserve"> A támogatás megállapítását legtöbbször iskoláztatáshoz (ruházat, tanszer), élelmiszervásárláshoz kérnek segítséget. </w:t>
      </w:r>
    </w:p>
    <w:p w:rsidR="006C2555" w:rsidRPr="00986D36" w:rsidRDefault="006C2555" w:rsidP="00CD093D">
      <w:pPr>
        <w:widowControl w:val="0"/>
        <w:autoSpaceDE w:val="0"/>
        <w:jc w:val="both"/>
      </w:pPr>
    </w:p>
    <w:p w:rsidR="006C2555" w:rsidRPr="00986D36" w:rsidRDefault="006C2555" w:rsidP="00411CD4">
      <w:pPr>
        <w:widowControl w:val="0"/>
        <w:autoSpaceDE w:val="0"/>
        <w:jc w:val="both"/>
      </w:pPr>
      <w:r w:rsidRPr="00986D36">
        <w:t>A gyermekekre tekintettel megállapított rendkívüli települési támogatás (2015. március 1. napja előtt önkormányzati segély) alakulása:</w:t>
      </w:r>
    </w:p>
    <w:p w:rsidR="006C2555" w:rsidRPr="00986D36" w:rsidRDefault="006C2555" w:rsidP="00CD093D">
      <w:pPr>
        <w:widowControl w:val="0"/>
        <w:autoSpaceDE w:val="0"/>
        <w:jc w:val="both"/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000"/>
      </w:tblPr>
      <w:tblGrid>
        <w:gridCol w:w="2738"/>
        <w:gridCol w:w="806"/>
        <w:gridCol w:w="851"/>
        <w:gridCol w:w="992"/>
        <w:gridCol w:w="850"/>
        <w:gridCol w:w="851"/>
        <w:gridCol w:w="850"/>
        <w:gridCol w:w="851"/>
      </w:tblGrid>
      <w:tr w:rsidR="006C2555" w:rsidRPr="00DD686B" w:rsidTr="0083069E">
        <w:trPr>
          <w:trHeight w:val="270"/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DD686B" w:rsidRDefault="006C2555" w:rsidP="00AB1C1C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2013.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2014.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2015.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2016.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2017.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2018.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2019.</w:t>
            </w:r>
          </w:p>
        </w:tc>
      </w:tr>
      <w:tr w:rsidR="006C2555" w:rsidRPr="00DD686B" w:rsidTr="0083069E">
        <w:trPr>
          <w:trHeight w:val="273"/>
          <w:jc w:val="center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DD686B" w:rsidRDefault="006C2555" w:rsidP="00AB1C1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Esetek száma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2555" w:rsidRPr="00DD686B" w:rsidRDefault="006C2555" w:rsidP="00A030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  <w:p w:rsidR="006C2555" w:rsidRPr="00DD686B" w:rsidRDefault="006C2555" w:rsidP="00A030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2555" w:rsidRPr="00DD686B" w:rsidRDefault="006C2555" w:rsidP="00A030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  <w:p w:rsidR="006C2555" w:rsidRPr="00DD686B" w:rsidRDefault="006C2555" w:rsidP="00A030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6C2555" w:rsidRPr="00DD686B" w:rsidTr="0083069E">
        <w:trPr>
          <w:trHeight w:val="391"/>
          <w:jc w:val="center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Támogatott családok  száma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2555" w:rsidRPr="00DD686B" w:rsidRDefault="006C2555" w:rsidP="00A030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  <w:p w:rsidR="006C2555" w:rsidRPr="00DD686B" w:rsidRDefault="006C2555" w:rsidP="00A030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2555" w:rsidRPr="00DD686B" w:rsidRDefault="006C2555" w:rsidP="00A030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  <w:p w:rsidR="006C2555" w:rsidRPr="00DD686B" w:rsidRDefault="006C2555" w:rsidP="00A030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6C2555" w:rsidRPr="00DD686B" w:rsidTr="0083069E">
        <w:trPr>
          <w:trHeight w:val="270"/>
          <w:jc w:val="center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DD686B" w:rsidRDefault="006C2555" w:rsidP="00AB1C1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Gyermekek száma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2555" w:rsidRPr="00DD686B" w:rsidRDefault="006C2555" w:rsidP="00A030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2555" w:rsidRPr="00DD686B" w:rsidRDefault="006C2555" w:rsidP="00A030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6C2555" w:rsidRPr="00DD686B" w:rsidTr="0083069E">
        <w:trPr>
          <w:trHeight w:val="417"/>
          <w:jc w:val="center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Kifizetett összeg (e Ft-ban)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B1C1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DD686B" w:rsidRDefault="006C2555" w:rsidP="00A030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2555" w:rsidRPr="00DD686B" w:rsidRDefault="006C2555" w:rsidP="00D94E53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  <w:p w:rsidR="006C2555" w:rsidRPr="00DD686B" w:rsidRDefault="006C2555" w:rsidP="00A030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DD686B">
              <w:rPr>
                <w:rFonts w:ascii="Arial" w:hAnsi="Arial" w:cs="Arial"/>
                <w:sz w:val="20"/>
                <w:szCs w:val="20"/>
                <w:lang w:eastAsia="hu-HU"/>
              </w:rPr>
              <w:t>55</w:t>
            </w:r>
          </w:p>
        </w:tc>
      </w:tr>
    </w:tbl>
    <w:p w:rsidR="006C2555" w:rsidRPr="00DD686B" w:rsidRDefault="006C2555" w:rsidP="00CD093D">
      <w:pPr>
        <w:widowControl w:val="0"/>
        <w:autoSpaceDE w:val="0"/>
        <w:jc w:val="both"/>
        <w:rPr>
          <w:bCs/>
        </w:rPr>
      </w:pPr>
    </w:p>
    <w:p w:rsidR="006C2555" w:rsidRDefault="006C2555" w:rsidP="00CD093D">
      <w:pPr>
        <w:widowControl w:val="0"/>
        <w:autoSpaceDE w:val="0"/>
        <w:jc w:val="both"/>
        <w:rPr>
          <w:bCs/>
        </w:rPr>
      </w:pPr>
    </w:p>
    <w:p w:rsidR="006C2555" w:rsidRDefault="006C2555" w:rsidP="00D25729">
      <w:pPr>
        <w:widowControl w:val="0"/>
        <w:autoSpaceDE w:val="0"/>
        <w:jc w:val="both"/>
        <w:rPr>
          <w:bCs/>
        </w:rPr>
      </w:pPr>
      <w:r>
        <w:rPr>
          <w:bCs/>
        </w:rPr>
        <w:t xml:space="preserve">A fenti adatok alapján megállapítható, hogy évről évre kevesebb kérelmező fordult az önkormányzathoz támogatásért. </w:t>
      </w:r>
    </w:p>
    <w:p w:rsidR="006C2555" w:rsidRDefault="006C2555" w:rsidP="00D25729">
      <w:pPr>
        <w:widowControl w:val="0"/>
        <w:autoSpaceDE w:val="0"/>
        <w:jc w:val="both"/>
        <w:rPr>
          <w:bCs/>
        </w:rPr>
      </w:pPr>
    </w:p>
    <w:p w:rsidR="006C2555" w:rsidRDefault="006C2555" w:rsidP="00D25729">
      <w:pPr>
        <w:widowControl w:val="0"/>
        <w:autoSpaceDE w:val="0"/>
        <w:jc w:val="both"/>
        <w:rPr>
          <w:b/>
          <w:bCs/>
          <w:u w:val="single"/>
        </w:rPr>
      </w:pPr>
      <w:r w:rsidRPr="004E5B74">
        <w:rPr>
          <w:b/>
          <w:bCs/>
        </w:rPr>
        <w:t xml:space="preserve">4./ </w:t>
      </w:r>
      <w:r w:rsidRPr="004E5B74">
        <w:rPr>
          <w:b/>
          <w:bCs/>
          <w:u w:val="single"/>
        </w:rPr>
        <w:t xml:space="preserve">Tankönyvtámogatás </w:t>
      </w:r>
    </w:p>
    <w:p w:rsidR="006C2555" w:rsidRPr="004E5B74" w:rsidRDefault="006C2555" w:rsidP="00D25729">
      <w:pPr>
        <w:widowControl w:val="0"/>
        <w:autoSpaceDE w:val="0"/>
        <w:jc w:val="both"/>
        <w:rPr>
          <w:b/>
          <w:bCs/>
          <w:u w:val="single"/>
        </w:rPr>
      </w:pPr>
    </w:p>
    <w:p w:rsidR="006C2555" w:rsidRPr="004E5B74" w:rsidRDefault="006C2555" w:rsidP="00D25729">
      <w:pPr>
        <w:widowControl w:val="0"/>
        <w:autoSpaceDE w:val="0"/>
        <w:jc w:val="both"/>
      </w:pPr>
      <w:r w:rsidRPr="004E5B74">
        <w:rPr>
          <w:bCs/>
        </w:rPr>
        <w:t xml:space="preserve">- Borzavár Községi Önkormányzat a Rendelet 23. §-a alapján </w:t>
      </w:r>
      <w:r w:rsidRPr="004E5B74">
        <w:t xml:space="preserve">tankönyvtámogatásban részesítheti azt a borzavári állandó lakóhellyel rendelkező tanulót, aki </w:t>
      </w:r>
    </w:p>
    <w:p w:rsidR="006C2555" w:rsidRPr="004E5B74" w:rsidRDefault="006C2555" w:rsidP="00D25729">
      <w:pPr>
        <w:widowControl w:val="0"/>
        <w:autoSpaceDE w:val="0"/>
        <w:autoSpaceDN w:val="0"/>
        <w:adjustRightInd w:val="0"/>
        <w:ind w:left="1080" w:hanging="372"/>
        <w:jc w:val="both"/>
        <w:rPr>
          <w:i/>
        </w:rPr>
      </w:pPr>
      <w:r w:rsidRPr="004E5B74">
        <w:rPr>
          <w:i/>
        </w:rPr>
        <w:t xml:space="preserve">„a) a Borzavár-Porva Német Nemzetiségi Nyelvoktató Általános Iskola tanulói jogviszonyával rendelkezik, </w:t>
      </w:r>
    </w:p>
    <w:p w:rsidR="006C2555" w:rsidRPr="004E5B74" w:rsidRDefault="006C2555" w:rsidP="00D25729">
      <w:pPr>
        <w:widowControl w:val="0"/>
        <w:autoSpaceDE w:val="0"/>
        <w:autoSpaceDN w:val="0"/>
        <w:adjustRightInd w:val="0"/>
        <w:ind w:left="1080" w:hanging="372"/>
        <w:jc w:val="both"/>
        <w:rPr>
          <w:i/>
        </w:rPr>
      </w:pPr>
      <w:r w:rsidRPr="004E5B74">
        <w:rPr>
          <w:i/>
        </w:rPr>
        <w:t xml:space="preserve">b) szakiskolai és középiskolai (gimnázium és szakközépiskola) jogviszonnyal rendelkezik, </w:t>
      </w:r>
    </w:p>
    <w:p w:rsidR="006C2555" w:rsidRPr="004E5B74" w:rsidRDefault="006C2555" w:rsidP="00D25729">
      <w:pPr>
        <w:widowControl w:val="0"/>
        <w:autoSpaceDE w:val="0"/>
        <w:autoSpaceDN w:val="0"/>
        <w:adjustRightInd w:val="0"/>
        <w:ind w:left="900" w:hanging="192"/>
        <w:jc w:val="both"/>
        <w:rPr>
          <w:i/>
        </w:rPr>
      </w:pPr>
      <w:r w:rsidRPr="004E5B74">
        <w:rPr>
          <w:i/>
        </w:rPr>
        <w:t>c) gyógypedagógiai, konduktív pedagógiai nevelési-oktatási intézmény tanulói jogviszonnyal rendelkezik, és</w:t>
      </w:r>
    </w:p>
    <w:p w:rsidR="006C2555" w:rsidRPr="004E5B74" w:rsidRDefault="006C2555" w:rsidP="00D25729">
      <w:pPr>
        <w:widowControl w:val="0"/>
        <w:autoSpaceDE w:val="0"/>
        <w:autoSpaceDN w:val="0"/>
        <w:adjustRightInd w:val="0"/>
        <w:ind w:left="1080" w:hanging="372"/>
        <w:jc w:val="both"/>
        <w:rPr>
          <w:i/>
        </w:rPr>
      </w:pPr>
      <w:r w:rsidRPr="004E5B74">
        <w:rPr>
          <w:i/>
        </w:rPr>
        <w:t>d) nappali rendszerű képzésben első diplomáját szerzi felsőfokú oktatási intézményben.”</w:t>
      </w:r>
    </w:p>
    <w:p w:rsidR="006C2555" w:rsidRPr="004E5B74" w:rsidRDefault="006C2555" w:rsidP="00D25729">
      <w:pPr>
        <w:widowControl w:val="0"/>
        <w:autoSpaceDE w:val="0"/>
        <w:autoSpaceDN w:val="0"/>
        <w:adjustRightInd w:val="0"/>
        <w:jc w:val="both"/>
      </w:pPr>
      <w:r w:rsidRPr="004E5B74">
        <w:t>A tankönyvtámogatás</w:t>
      </w:r>
      <w:r w:rsidRPr="00950645">
        <w:rPr>
          <w:strike/>
          <w:color w:val="FF0000"/>
        </w:rPr>
        <w:t>t</w:t>
      </w:r>
      <w:r w:rsidRPr="004E5B74">
        <w:t xml:space="preserve"> adható közvetlenül a támogatott számára átadott pénzbeli ellátásként, vagy az oktatási intézményen keresztül természetben, tankönyv formájába augusztus, szeptember és október hónapban. </w:t>
      </w:r>
    </w:p>
    <w:p w:rsidR="006C2555" w:rsidRPr="00B63F39" w:rsidRDefault="006C2555" w:rsidP="00D25729">
      <w:pPr>
        <w:widowControl w:val="0"/>
        <w:autoSpaceDE w:val="0"/>
        <w:autoSpaceDN w:val="0"/>
        <w:adjustRightInd w:val="0"/>
        <w:jc w:val="both"/>
      </w:pPr>
    </w:p>
    <w:p w:rsidR="006C2555" w:rsidRPr="00B63F39" w:rsidRDefault="006C2555" w:rsidP="00035CC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3F39">
        <w:t>A Rendelet 23. § a) és c) pontjában történő megfelelés esetén a számlával igazolt teljes költség megtérítésre kerül, míg a b) és d) pontban történő megfelelés esetén a 10.000,- Ft/gyermek támogatás kerül kifizetésre.</w:t>
      </w:r>
      <w:r w:rsidRPr="00B63F39">
        <w:rPr>
          <w:bCs/>
        </w:rPr>
        <w:t xml:space="preserve"> </w:t>
      </w:r>
    </w:p>
    <w:p w:rsidR="006C2555" w:rsidRPr="007625EB" w:rsidRDefault="006C2555" w:rsidP="007625E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420D1">
        <w:rPr>
          <w:b/>
          <w:bCs/>
        </w:rPr>
        <w:t>2019-b</w:t>
      </w:r>
      <w:r w:rsidRPr="005A289C">
        <w:rPr>
          <w:b/>
          <w:bCs/>
        </w:rPr>
        <w:t>e</w:t>
      </w:r>
      <w:r w:rsidRPr="003420D1">
        <w:rPr>
          <w:b/>
          <w:bCs/>
        </w:rPr>
        <w:t>n általános iskolai tanuló részére nem került támogatás kifizetésre, 25 fő a szakiskolai</w:t>
      </w:r>
      <w:r>
        <w:rPr>
          <w:b/>
          <w:bCs/>
        </w:rPr>
        <w:t xml:space="preserve">, </w:t>
      </w:r>
      <w:r w:rsidRPr="003420D1">
        <w:rPr>
          <w:b/>
          <w:bCs/>
        </w:rPr>
        <w:t>középiskolai és felsőfokú nappali rendszerű képzésben járó tanuló részére összesen 250 e Ft került kifizetésre.</w:t>
      </w:r>
    </w:p>
    <w:p w:rsidR="006C2555" w:rsidRDefault="006C2555" w:rsidP="00CD093D">
      <w:pPr>
        <w:widowControl w:val="0"/>
        <w:autoSpaceDE w:val="0"/>
        <w:jc w:val="both"/>
        <w:rPr>
          <w:b/>
          <w:bCs/>
        </w:rPr>
      </w:pPr>
    </w:p>
    <w:p w:rsidR="006C2555" w:rsidRDefault="006C2555" w:rsidP="00CD093D">
      <w:pPr>
        <w:widowControl w:val="0"/>
        <w:autoSpaceDE w:val="0"/>
        <w:jc w:val="both"/>
        <w:rPr>
          <w:b/>
          <w:bCs/>
          <w:u w:val="single"/>
        </w:rPr>
      </w:pPr>
      <w:r w:rsidRPr="00F42F8D">
        <w:rPr>
          <w:b/>
          <w:bCs/>
        </w:rPr>
        <w:t xml:space="preserve">5./ </w:t>
      </w:r>
      <w:r w:rsidRPr="003F7CB1">
        <w:rPr>
          <w:b/>
          <w:bCs/>
          <w:u w:val="single"/>
        </w:rPr>
        <w:t>Egyéb támogatások:</w:t>
      </w:r>
    </w:p>
    <w:p w:rsidR="006C2555" w:rsidRPr="00F42F8D" w:rsidRDefault="006C2555" w:rsidP="00CD093D">
      <w:pPr>
        <w:widowControl w:val="0"/>
        <w:autoSpaceDE w:val="0"/>
        <w:jc w:val="both"/>
        <w:rPr>
          <w:b/>
          <w:bCs/>
        </w:rPr>
      </w:pPr>
    </w:p>
    <w:p w:rsidR="006C2555" w:rsidRPr="003420D1" w:rsidRDefault="006C2555" w:rsidP="00B63F39">
      <w:pPr>
        <w:widowControl w:val="0"/>
        <w:autoSpaceDE w:val="0"/>
        <w:jc w:val="both"/>
        <w:rPr>
          <w:b/>
        </w:rPr>
      </w:pPr>
      <w:r w:rsidRPr="001B2875">
        <w:rPr>
          <w:bCs/>
        </w:rPr>
        <w:t xml:space="preserve">- </w:t>
      </w:r>
      <w:r w:rsidRPr="001B2875">
        <w:t>Borzavár Községi Önkormányzat Képviselő-testületének a letelepedést ösztönző, és a nevelést segítő támogatási formákról</w:t>
      </w:r>
      <w:r w:rsidRPr="001B2875">
        <w:rPr>
          <w:bCs/>
        </w:rPr>
        <w:t xml:space="preserve"> szóló </w:t>
      </w:r>
      <w:r w:rsidRPr="001B2875">
        <w:t xml:space="preserve">4/2015.(II.27.) önkormányzati rendelet (a továbbiakban: Rendelet2) 8. </w:t>
      </w:r>
      <w:r w:rsidRPr="00950645">
        <w:rPr>
          <w:rStyle w:val="Strong"/>
          <w:b w:val="0"/>
          <w:bCs/>
        </w:rPr>
        <w:t>§</w:t>
      </w:r>
      <w:r w:rsidRPr="001B2875">
        <w:rPr>
          <w:rStyle w:val="Strong"/>
          <w:bCs/>
        </w:rPr>
        <w:t>-</w:t>
      </w:r>
      <w:r w:rsidRPr="001B2875">
        <w:rPr>
          <w:rStyle w:val="Strong"/>
          <w:b w:val="0"/>
          <w:bCs/>
        </w:rPr>
        <w:t xml:space="preserve">a alapján Borzavár Községi Önkormányzat </w:t>
      </w:r>
      <w:r w:rsidRPr="001B2875">
        <w:t xml:space="preserve">Képviselő-testülete hivatalból, jövedelemre tekintet nélkül – saját bevételei terhére, </w:t>
      </w:r>
      <w:r w:rsidRPr="001B2875">
        <w:rPr>
          <w:b/>
        </w:rPr>
        <w:t>vissza nem térítendő támogatásban részesíti</w:t>
      </w:r>
      <w:r w:rsidRPr="001B2875">
        <w:t xml:space="preserve"> </w:t>
      </w:r>
      <w:r w:rsidRPr="001B2875">
        <w:rPr>
          <w:b/>
        </w:rPr>
        <w:t>azon szülőt, gondviselőt, vagy más törvényes képviselőt, akinek óvodás korú gyermeke a Borzavári Manókert Óvodába jár</w:t>
      </w:r>
      <w:r w:rsidRPr="003420D1">
        <w:t xml:space="preserve">. </w:t>
      </w:r>
      <w:r w:rsidRPr="003420D1">
        <w:rPr>
          <w:b/>
        </w:rPr>
        <w:t>2019. évben 17 gyermek részesült támogatásban összesen 340 ezer Ft összegben.</w:t>
      </w:r>
    </w:p>
    <w:p w:rsidR="006C2555" w:rsidRPr="001B2875" w:rsidRDefault="006C2555" w:rsidP="00CD093D">
      <w:pPr>
        <w:widowControl w:val="0"/>
        <w:autoSpaceDE w:val="0"/>
        <w:jc w:val="both"/>
        <w:rPr>
          <w:b/>
        </w:rPr>
      </w:pPr>
    </w:p>
    <w:p w:rsidR="006C2555" w:rsidRPr="001B2875" w:rsidRDefault="006C2555" w:rsidP="00035CC4">
      <w:pPr>
        <w:widowControl w:val="0"/>
        <w:autoSpaceDE w:val="0"/>
        <w:jc w:val="both"/>
        <w:rPr>
          <w:lang w:eastAsia="hu-HU"/>
        </w:rPr>
      </w:pPr>
      <w:r w:rsidRPr="001B2875">
        <w:t xml:space="preserve">Ezen Rendelet2 9. §-a alapján a Képviselő-testület – hivatalból, jövedelemre tekintet nélkül – saját bevételei terhére, </w:t>
      </w:r>
      <w:r w:rsidRPr="001B2875">
        <w:rPr>
          <w:b/>
        </w:rPr>
        <w:t>vissza nem térítendő természetbeni támogatásban (egy füzetcsomag kerül átadásra augusztus 20. napjáig) részesíti azon szülőt, gondviselőt, vagy más törvényes képviselőt (</w:t>
      </w:r>
      <w:r w:rsidRPr="001B2875">
        <w:t xml:space="preserve">a továbbiakban együtt: szülő), </w:t>
      </w:r>
      <w:r w:rsidRPr="001B2875">
        <w:rPr>
          <w:b/>
        </w:rPr>
        <w:t>akinek általánosiskolás-korú gyermeke a Borzavár-Porvai Német Nemzetiségi Nyelvoktató Általános Iskola (a továbbiakban: Intézmény) nevű intézménybe jár feltéve, ha az alábbi feltételeknek is megfelelnek:</w:t>
      </w:r>
    </w:p>
    <w:p w:rsidR="006C2555" w:rsidRPr="001B2875" w:rsidRDefault="006C2555" w:rsidP="00035CC4">
      <w:pPr>
        <w:widowControl w:val="0"/>
        <w:autoSpaceDE w:val="0"/>
        <w:jc w:val="both"/>
        <w:rPr>
          <w:lang w:eastAsia="hu-HU"/>
        </w:rPr>
      </w:pPr>
      <w:r w:rsidRPr="001B2875">
        <w:rPr>
          <w:lang w:eastAsia="hu-HU"/>
        </w:rPr>
        <w:t>a) a gyermek állandó bejelentett lakhellyel rendelkezik Borzavár közigazgatási területén, és</w:t>
      </w:r>
    </w:p>
    <w:p w:rsidR="006C2555" w:rsidRPr="001B2875" w:rsidRDefault="006C2555" w:rsidP="00035CC4">
      <w:pPr>
        <w:suppressAutoHyphens w:val="0"/>
        <w:rPr>
          <w:lang w:eastAsia="hu-HU"/>
        </w:rPr>
      </w:pPr>
      <w:r w:rsidRPr="001B2875">
        <w:rPr>
          <w:lang w:eastAsia="hu-HU"/>
        </w:rPr>
        <w:t>b) legalább egyik szülője a gyermekkel azonos bejelentett állandó lakhellyel rendelkezik.</w:t>
      </w:r>
    </w:p>
    <w:p w:rsidR="006C2555" w:rsidRPr="00C166DD" w:rsidRDefault="006C2555" w:rsidP="00B63F39">
      <w:pPr>
        <w:suppressAutoHyphens w:val="0"/>
        <w:jc w:val="both"/>
        <w:rPr>
          <w:b/>
          <w:lang w:eastAsia="hu-HU"/>
        </w:rPr>
      </w:pPr>
      <w:r w:rsidRPr="00C166DD">
        <w:rPr>
          <w:b/>
          <w:lang w:eastAsia="hu-HU"/>
        </w:rPr>
        <w:t>Természetbeni támogatásként 2019. évben 49 iskolás gyermek kapott füzetcsomagot az önkormányzattól (37.958,- Ft értékben).</w:t>
      </w:r>
    </w:p>
    <w:p w:rsidR="006C2555" w:rsidRPr="00C91823" w:rsidRDefault="006C2555" w:rsidP="00B63F39">
      <w:pPr>
        <w:suppressAutoHyphens w:val="0"/>
        <w:jc w:val="both"/>
        <w:rPr>
          <w:bCs/>
          <w:color w:val="70AD47"/>
        </w:rPr>
      </w:pPr>
    </w:p>
    <w:p w:rsidR="006C2555" w:rsidRPr="007C74C0" w:rsidRDefault="006C2555" w:rsidP="00CD093D">
      <w:pPr>
        <w:widowControl w:val="0"/>
        <w:autoSpaceDE w:val="0"/>
        <w:jc w:val="both"/>
        <w:rPr>
          <w:bCs/>
        </w:rPr>
      </w:pPr>
    </w:p>
    <w:p w:rsidR="006C2555" w:rsidRPr="007C74C0" w:rsidRDefault="006C2555" w:rsidP="00CD093D">
      <w:pPr>
        <w:widowControl w:val="0"/>
        <w:autoSpaceDE w:val="0"/>
        <w:jc w:val="both"/>
        <w:rPr>
          <w:b/>
          <w:bCs/>
        </w:rPr>
      </w:pPr>
      <w:r w:rsidRPr="007C74C0">
        <w:rPr>
          <w:b/>
          <w:bCs/>
        </w:rPr>
        <w:t>6./ Gyermekszületési támogatás</w:t>
      </w:r>
    </w:p>
    <w:p w:rsidR="006C2555" w:rsidRPr="00144B88" w:rsidRDefault="006C2555" w:rsidP="00CD093D">
      <w:pPr>
        <w:widowControl w:val="0"/>
        <w:autoSpaceDE w:val="0"/>
        <w:jc w:val="both"/>
        <w:rPr>
          <w:b/>
          <w:i/>
        </w:rPr>
      </w:pPr>
      <w:r w:rsidRPr="007C74C0">
        <w:rPr>
          <w:bCs/>
        </w:rPr>
        <w:t>A Rendelet 22. §-a értelmében a hatáskört gyakorló polgármester g</w:t>
      </w:r>
      <w:r w:rsidRPr="007C74C0">
        <w:t xml:space="preserve">yermekszületési támogatást állapít meg a borzavári állandó bejelentett lakcímmel rendelkező családnak, egyedül álló szülőnek, aki </w:t>
      </w:r>
      <w:r>
        <w:t xml:space="preserve">a </w:t>
      </w:r>
      <w:r w:rsidRPr="007C74C0">
        <w:t xml:space="preserve">gyermek születését születési anyakönyvi kivonattal igazolja. A támogatás gyermekenként 20 ezer forint/gyermek. Borzavár Községi Önkormányzat </w:t>
      </w:r>
      <w:r w:rsidRPr="00144B88">
        <w:rPr>
          <w:b/>
          <w:i/>
        </w:rPr>
        <w:t>2019. évben 7 gyermek „születését” támogatta összesen 140 ezer forinttal.</w:t>
      </w:r>
    </w:p>
    <w:p w:rsidR="006C2555" w:rsidRPr="007C74C0" w:rsidRDefault="006C2555" w:rsidP="00CD093D">
      <w:pPr>
        <w:widowControl w:val="0"/>
        <w:autoSpaceDE w:val="0"/>
        <w:jc w:val="both"/>
        <w:rPr>
          <w:bCs/>
        </w:rPr>
      </w:pPr>
    </w:p>
    <w:p w:rsidR="006C2555" w:rsidRDefault="006C2555" w:rsidP="00CD093D">
      <w:pPr>
        <w:widowControl w:val="0"/>
        <w:autoSpaceDE w:val="0"/>
        <w:jc w:val="both"/>
        <w:rPr>
          <w:bCs/>
        </w:rPr>
      </w:pPr>
    </w:p>
    <w:p w:rsidR="006C2555" w:rsidRPr="00461EE4" w:rsidRDefault="006C2555" w:rsidP="00CD093D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>7</w:t>
      </w:r>
      <w:r w:rsidRPr="00461EE4">
        <w:rPr>
          <w:b/>
          <w:bCs/>
        </w:rPr>
        <w:t xml:space="preserve">./ </w:t>
      </w:r>
      <w:r w:rsidRPr="003F7CB1">
        <w:rPr>
          <w:b/>
          <w:bCs/>
          <w:u w:val="single"/>
        </w:rPr>
        <w:t>Gyermekétkeztetés:</w:t>
      </w:r>
    </w:p>
    <w:p w:rsidR="006C2555" w:rsidRDefault="006C2555" w:rsidP="000302E0">
      <w:pPr>
        <w:jc w:val="both"/>
        <w:rPr>
          <w:bCs/>
        </w:rPr>
      </w:pPr>
    </w:p>
    <w:p w:rsidR="006C2555" w:rsidRDefault="006C2555" w:rsidP="000302E0">
      <w:pPr>
        <w:jc w:val="both"/>
        <w:rPr>
          <w:bCs/>
        </w:rPr>
      </w:pPr>
      <w:r w:rsidRPr="000302E0">
        <w:rPr>
          <w:bCs/>
        </w:rPr>
        <w:t>A Gyvt. 21. §</w:t>
      </w:r>
      <w:r>
        <w:rPr>
          <w:bCs/>
        </w:rPr>
        <w:t>-a értelmében:</w:t>
      </w:r>
    </w:p>
    <w:p w:rsidR="006C2555" w:rsidRPr="000302E0" w:rsidRDefault="006C2555" w:rsidP="000302E0">
      <w:pPr>
        <w:jc w:val="both"/>
        <w:rPr>
          <w:i/>
        </w:rPr>
      </w:pPr>
      <w:r w:rsidRPr="000302E0">
        <w:rPr>
          <w:b/>
          <w:bCs/>
          <w:i/>
        </w:rPr>
        <w:t xml:space="preserve"> „</w:t>
      </w:r>
      <w:r w:rsidRPr="000302E0">
        <w:rPr>
          <w:i/>
        </w:rPr>
        <w:t>(1) Természetbeni ellátásként a gyermek életkorának megfelelő gyermekétkeztetést kell biztosítani a gyermeket gondozó szülő, törvényes képviselő vagy nevelésbe vett gyermek esetén a gyermek ellátását biztosító nevelőszülő, gyermekotthon vezetője, illetve az Szt. hatálya alá tartozó ápolást, gondozást nyújtó intézmény vezetője kérelmére</w:t>
      </w:r>
    </w:p>
    <w:p w:rsidR="006C2555" w:rsidRPr="000302E0" w:rsidRDefault="006C2555" w:rsidP="000302E0">
      <w:pPr>
        <w:ind w:firstLine="204"/>
        <w:jc w:val="both"/>
        <w:rPr>
          <w:i/>
        </w:rPr>
      </w:pPr>
      <w:r w:rsidRPr="000302E0">
        <w:rPr>
          <w:i/>
          <w:iCs/>
        </w:rPr>
        <w:t xml:space="preserve">a) </w:t>
      </w:r>
      <w:r w:rsidRPr="000302E0">
        <w:rPr>
          <w:i/>
        </w:rPr>
        <w:t>a bölcsődében,</w:t>
      </w:r>
    </w:p>
    <w:p w:rsidR="006C2555" w:rsidRPr="000302E0" w:rsidRDefault="006C2555" w:rsidP="000302E0">
      <w:pPr>
        <w:ind w:firstLine="204"/>
        <w:jc w:val="both"/>
        <w:rPr>
          <w:i/>
        </w:rPr>
      </w:pPr>
      <w:r w:rsidRPr="000302E0">
        <w:rPr>
          <w:i/>
          <w:iCs/>
        </w:rPr>
        <w:t xml:space="preserve">b) </w:t>
      </w:r>
      <w:r w:rsidRPr="000302E0">
        <w:rPr>
          <w:i/>
        </w:rPr>
        <w:t>az óvodában,</w:t>
      </w:r>
    </w:p>
    <w:p w:rsidR="006C2555" w:rsidRPr="000302E0" w:rsidRDefault="006C2555" w:rsidP="000302E0">
      <w:pPr>
        <w:ind w:firstLine="204"/>
        <w:jc w:val="both"/>
        <w:rPr>
          <w:i/>
        </w:rPr>
      </w:pPr>
      <w:r w:rsidRPr="000302E0">
        <w:rPr>
          <w:i/>
          <w:iCs/>
        </w:rPr>
        <w:t xml:space="preserve">c) </w:t>
      </w:r>
      <w:r w:rsidRPr="000302E0">
        <w:rPr>
          <w:i/>
        </w:rPr>
        <w:t>a nyári napközis otthonban,</w:t>
      </w:r>
    </w:p>
    <w:p w:rsidR="006C2555" w:rsidRPr="000302E0" w:rsidRDefault="006C2555" w:rsidP="000302E0">
      <w:pPr>
        <w:ind w:firstLine="204"/>
        <w:jc w:val="both"/>
        <w:rPr>
          <w:i/>
        </w:rPr>
      </w:pPr>
      <w:r w:rsidRPr="000302E0">
        <w:rPr>
          <w:i/>
          <w:iCs/>
        </w:rPr>
        <w:t xml:space="preserve">d) </w:t>
      </w:r>
      <w:r w:rsidRPr="000302E0">
        <w:rPr>
          <w:i/>
        </w:rPr>
        <w:t>az általános és középiskolai kollégiumban, az itt szervezett externátusi ellátásban,</w:t>
      </w:r>
    </w:p>
    <w:p w:rsidR="006C2555" w:rsidRPr="000302E0" w:rsidRDefault="006C2555" w:rsidP="000302E0">
      <w:pPr>
        <w:ind w:firstLine="204"/>
        <w:jc w:val="both"/>
        <w:rPr>
          <w:i/>
        </w:rPr>
      </w:pPr>
      <w:r w:rsidRPr="000302E0">
        <w:rPr>
          <w:i/>
          <w:iCs/>
        </w:rPr>
        <w:t xml:space="preserve">e) </w:t>
      </w:r>
      <w:r w:rsidRPr="000302E0">
        <w:rPr>
          <w:i/>
        </w:rPr>
        <w:t>az általános iskolai és - ha önkormányzati rendelet kivételével jogszabály másképpen nem rendelkezik - a középfokú iskolai menzai ellátás keretében,</w:t>
      </w:r>
    </w:p>
    <w:p w:rsidR="006C2555" w:rsidRPr="000302E0" w:rsidRDefault="006C2555" w:rsidP="000302E0">
      <w:pPr>
        <w:ind w:firstLine="204"/>
        <w:jc w:val="both"/>
        <w:rPr>
          <w:i/>
        </w:rPr>
      </w:pPr>
      <w:r w:rsidRPr="000302E0">
        <w:rPr>
          <w:i/>
          <w:iCs/>
        </w:rPr>
        <w:t xml:space="preserve">f) </w:t>
      </w:r>
      <w:r w:rsidRPr="000302E0">
        <w:rPr>
          <w:i/>
        </w:rPr>
        <w:t xml:space="preserve">a fogyatékos gyermekek, tanulók nevelését, oktatását ellátó intézményben és a fogyatékos gyermekek számára nappali ellátást nyújtó, az Szt. hatálya alá tartozó fogyatékosok nappali intézményében [az </w:t>
      </w:r>
      <w:r w:rsidRPr="000302E0">
        <w:rPr>
          <w:i/>
          <w:iCs/>
        </w:rPr>
        <w:t xml:space="preserve">a)-f) </w:t>
      </w:r>
      <w:r w:rsidRPr="000302E0">
        <w:rPr>
          <w:i/>
        </w:rPr>
        <w:t>pontban foglaltak a továbbiakban együtt: intézményi gyermekétkeztetés],</w:t>
      </w:r>
    </w:p>
    <w:p w:rsidR="006C2555" w:rsidRPr="000302E0" w:rsidRDefault="006C2555" w:rsidP="000302E0">
      <w:pPr>
        <w:ind w:firstLine="204"/>
        <w:jc w:val="both"/>
        <w:rPr>
          <w:i/>
        </w:rPr>
      </w:pPr>
      <w:r w:rsidRPr="000302E0">
        <w:rPr>
          <w:i/>
          <w:iCs/>
        </w:rPr>
        <w:t xml:space="preserve">g) </w:t>
      </w:r>
      <w:r w:rsidRPr="000302E0">
        <w:rPr>
          <w:i/>
        </w:rPr>
        <w:t>a 21/C. §-ban foglaltak szerint a bölcsőde és az óvoda zárva tartása, valamint az iskolában az Nktv. 30. § (1) bekezdése szerinti nyári szünet és az Nktv. 30. § (4) bekezdése szerinti tanítási szünetek időtartama alatt (a továbbiakban együtt: szünidei gyermekétkeztetés).</w:t>
      </w:r>
    </w:p>
    <w:p w:rsidR="006C2555" w:rsidRPr="000302E0" w:rsidRDefault="006C2555" w:rsidP="000302E0">
      <w:pPr>
        <w:ind w:firstLine="204"/>
        <w:jc w:val="both"/>
        <w:rPr>
          <w:i/>
        </w:rPr>
      </w:pPr>
      <w:r w:rsidRPr="000302E0">
        <w:rPr>
          <w:i/>
        </w:rPr>
        <w:t>(2) Az intézményi és a szünidei gyermekétkeztetés biztosítására kötelezett önkormányzat e feladatának ellátásához a közigazgatási területén kívülről érkező gyermek, tanuló lakóhelye szerinti önkormányzattól hozzájárulást kérhet.”</w:t>
      </w:r>
    </w:p>
    <w:p w:rsidR="006C2555" w:rsidRDefault="006C2555" w:rsidP="000302E0">
      <w:pPr>
        <w:jc w:val="both"/>
      </w:pPr>
    </w:p>
    <w:p w:rsidR="006C2555" w:rsidRDefault="006C2555" w:rsidP="000302E0">
      <w:pPr>
        <w:jc w:val="both"/>
      </w:pPr>
      <w:r>
        <w:t>A Gyvt. 21/A. § (1)-(2) bekezdése alapján:</w:t>
      </w:r>
    </w:p>
    <w:p w:rsidR="006C2555" w:rsidRPr="000302E0" w:rsidRDefault="006C2555" w:rsidP="000302E0">
      <w:pPr>
        <w:jc w:val="both"/>
        <w:rPr>
          <w:i/>
        </w:rPr>
      </w:pPr>
      <w:r w:rsidRPr="000302E0">
        <w:rPr>
          <w:i/>
        </w:rPr>
        <w:t xml:space="preserve"> „(1) Ha a szülő, törvényes képviselő eltérően nem rendelkezik, az intézményi gyermekétkeztetés keretében a nem bentlakásos intézményben</w:t>
      </w:r>
    </w:p>
    <w:p w:rsidR="006C2555" w:rsidRPr="000302E0" w:rsidRDefault="006C2555" w:rsidP="000302E0">
      <w:pPr>
        <w:ind w:firstLine="204"/>
        <w:jc w:val="both"/>
        <w:rPr>
          <w:i/>
        </w:rPr>
      </w:pPr>
      <w:r w:rsidRPr="000302E0">
        <w:rPr>
          <w:i/>
          <w:iCs/>
        </w:rPr>
        <w:t xml:space="preserve">a) </w:t>
      </w:r>
      <w:r w:rsidRPr="000302E0">
        <w:rPr>
          <w:i/>
        </w:rPr>
        <w:t>a bölcsődei ellátásban részesülő gyermekek részére az ellátási napokon a reggeli főétkezést, a déli meleg főétkezést, valamint tízórai és uzsonna formájában két kisétkezést,</w:t>
      </w:r>
    </w:p>
    <w:p w:rsidR="006C2555" w:rsidRPr="000302E0" w:rsidRDefault="006C2555" w:rsidP="000302E0">
      <w:pPr>
        <w:ind w:firstLine="204"/>
        <w:jc w:val="both"/>
        <w:rPr>
          <w:i/>
        </w:rPr>
      </w:pPr>
      <w:r w:rsidRPr="000302E0">
        <w:rPr>
          <w:i/>
          <w:iCs/>
        </w:rPr>
        <w:t xml:space="preserve">b) </w:t>
      </w:r>
      <w:r w:rsidRPr="000302E0">
        <w:rPr>
          <w:i/>
        </w:rPr>
        <w:t>a gyermekek és a tanulók számára az óvodai nevelési napokon, valamint az iskolai tanítási napokon az óvodában és a nem bentlakásos nevelési-oktatási intézményben a déli meleg főétkezést, valamint tízórai és uzsonna formájában két kisétkezést</w:t>
      </w:r>
    </w:p>
    <w:p w:rsidR="006C2555" w:rsidRPr="000302E0" w:rsidRDefault="006C2555" w:rsidP="000302E0">
      <w:pPr>
        <w:jc w:val="both"/>
        <w:rPr>
          <w:i/>
        </w:rPr>
      </w:pPr>
      <w:r w:rsidRPr="000302E0">
        <w:rPr>
          <w:i/>
        </w:rPr>
        <w:t>kell biztosítani.</w:t>
      </w:r>
    </w:p>
    <w:p w:rsidR="006C2555" w:rsidRPr="000302E0" w:rsidRDefault="006C2555" w:rsidP="000302E0">
      <w:pPr>
        <w:ind w:firstLine="204"/>
        <w:jc w:val="both"/>
        <w:rPr>
          <w:i/>
        </w:rPr>
      </w:pPr>
      <w:r w:rsidRPr="000302E0">
        <w:rPr>
          <w:i/>
        </w:rPr>
        <w:t>(2) Intézményi gyermekétkeztetésben részesülhet az iskolában az a tanuló is, aki a napközit nem veszi igénybe. Az étkezések közül az ebéd külön is igényelhető.</w:t>
      </w:r>
      <w:r>
        <w:rPr>
          <w:i/>
        </w:rPr>
        <w:t>”</w:t>
      </w:r>
    </w:p>
    <w:p w:rsidR="006C2555" w:rsidRDefault="006C2555" w:rsidP="00CD093D">
      <w:pPr>
        <w:widowControl w:val="0"/>
        <w:autoSpaceDE w:val="0"/>
        <w:jc w:val="both"/>
        <w:rPr>
          <w:bCs/>
          <w:i/>
        </w:rPr>
      </w:pPr>
    </w:p>
    <w:p w:rsidR="006C2555" w:rsidRDefault="006C2555" w:rsidP="00CD093D">
      <w:pPr>
        <w:widowControl w:val="0"/>
        <w:autoSpaceDE w:val="0"/>
        <w:jc w:val="both"/>
        <w:rPr>
          <w:bCs/>
          <w:i/>
        </w:rPr>
      </w:pPr>
    </w:p>
    <w:p w:rsidR="006C2555" w:rsidRPr="000302E0" w:rsidRDefault="006C2555" w:rsidP="00CD093D">
      <w:pPr>
        <w:widowControl w:val="0"/>
        <w:autoSpaceDE w:val="0"/>
        <w:jc w:val="both"/>
        <w:rPr>
          <w:b/>
          <w:bCs/>
        </w:rPr>
      </w:pPr>
      <w:r w:rsidRPr="000302E0">
        <w:rPr>
          <w:b/>
          <w:bCs/>
        </w:rPr>
        <w:t>Borzavár Közs</w:t>
      </w:r>
      <w:r>
        <w:rPr>
          <w:b/>
          <w:bCs/>
        </w:rPr>
        <w:t xml:space="preserve">égi Önkormányzatnak a </w:t>
      </w:r>
      <w:r w:rsidRPr="007C74C0">
        <w:rPr>
          <w:b/>
          <w:bCs/>
        </w:rPr>
        <w:t>Gyvt. 21. § (1) bekezdés a)-b) pontja alapján</w:t>
      </w:r>
      <w:r>
        <w:rPr>
          <w:b/>
          <w:bCs/>
        </w:rPr>
        <w:t xml:space="preserve"> </w:t>
      </w:r>
      <w:r w:rsidRPr="000302E0">
        <w:rPr>
          <w:b/>
          <w:bCs/>
        </w:rPr>
        <w:t>az óvodában és az általános iskolában szükséges a gyermekétkeztetést biztosítani.</w:t>
      </w:r>
    </w:p>
    <w:p w:rsidR="006C2555" w:rsidRDefault="006C2555" w:rsidP="000302E0">
      <w:pPr>
        <w:widowControl w:val="0"/>
        <w:autoSpaceDE w:val="0"/>
        <w:jc w:val="both"/>
        <w:rPr>
          <w:b/>
          <w:bCs/>
        </w:rPr>
      </w:pPr>
    </w:p>
    <w:p w:rsidR="006C2555" w:rsidRDefault="006C2555" w:rsidP="00F02EB0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 xml:space="preserve">Borzavár Községi Önkormányzat gyermekétkeztetési feladatait erre vonatkozó Megállapodás alapján Zirc Városi Önkormányzat biztosítja az általa alapított és fenntartott Zirci Önkormányzati Szolgáltató Központ (a továbbiakban: ZÖSZK) intézmény keretein belül. A normál ételek a ZÖSZK konyháin kerültek előállításra. Az </w:t>
      </w:r>
      <w:r w:rsidRPr="005A289C">
        <w:rPr>
          <w:b/>
          <w:bCs/>
        </w:rPr>
        <w:t>általános iskolás</w:t>
      </w:r>
      <w:r>
        <w:rPr>
          <w:b/>
          <w:bCs/>
        </w:rPr>
        <w:t xml:space="preserve"> és óvodás gyermekre tekintettel szülő – 2019. évben -  nem kérelmezett speciális étkezés biztosítását, így ilyen jellegű étkezés biztosítására nem volt szükség. Amennyiben erre szükség lesz a ZÖSZK a Zirci Erzsébet Kórház-rendelőintézet által működtetett konyhával – az ottani dietetikus közreműködésével - kötött szerződés alapján biztosítani tudja a speciális diéta bármely formáját.</w:t>
      </w:r>
    </w:p>
    <w:p w:rsidR="006C2555" w:rsidRPr="00154A6D" w:rsidRDefault="006C2555" w:rsidP="000302E0">
      <w:pPr>
        <w:widowControl w:val="0"/>
        <w:autoSpaceDE w:val="0"/>
        <w:jc w:val="both"/>
        <w:rPr>
          <w:b/>
          <w:bCs/>
        </w:rPr>
      </w:pPr>
    </w:p>
    <w:p w:rsidR="006C2555" w:rsidRPr="00154A6D" w:rsidRDefault="006C2555" w:rsidP="003F7CB1">
      <w:pPr>
        <w:jc w:val="both"/>
        <w:rPr>
          <w:i/>
          <w:u w:val="single"/>
        </w:rPr>
      </w:pPr>
      <w:r w:rsidRPr="00154A6D">
        <w:t>A Gyvt. 21/B. § (1) bekezdése alapján „</w:t>
      </w:r>
      <w:r w:rsidRPr="00154A6D">
        <w:rPr>
          <w:i/>
        </w:rPr>
        <w:t xml:space="preserve">Az intézményi gyermekétkeztetést </w:t>
      </w:r>
      <w:r w:rsidRPr="00154A6D">
        <w:rPr>
          <w:i/>
          <w:u w:val="single"/>
        </w:rPr>
        <w:t>ingyenesen kell</w:t>
      </w:r>
      <w:r w:rsidRPr="00154A6D">
        <w:rPr>
          <w:i/>
        </w:rPr>
        <w:t xml:space="preserve"> </w:t>
      </w:r>
      <w:r w:rsidRPr="00154A6D">
        <w:rPr>
          <w:i/>
          <w:u w:val="single"/>
        </w:rPr>
        <w:t>biztosítani</w:t>
      </w:r>
    </w:p>
    <w:p w:rsidR="006C2555" w:rsidRPr="003F7CB1" w:rsidRDefault="006C2555" w:rsidP="003F7CB1">
      <w:pPr>
        <w:ind w:firstLine="204"/>
        <w:jc w:val="both"/>
        <w:rPr>
          <w:i/>
        </w:rPr>
      </w:pPr>
      <w:r w:rsidRPr="00154A6D">
        <w:rPr>
          <w:i/>
          <w:iCs/>
        </w:rPr>
        <w:t>a)</w:t>
      </w:r>
      <w:r w:rsidRPr="003F7CB1">
        <w:rPr>
          <w:i/>
          <w:iCs/>
        </w:rPr>
        <w:t xml:space="preserve"> </w:t>
      </w:r>
      <w:r w:rsidRPr="003F7CB1">
        <w:rPr>
          <w:i/>
        </w:rPr>
        <w:t>a bölcsődei ellátásban vagy óvodai nevelésben részesülő gyermek számára, ha</w:t>
      </w:r>
    </w:p>
    <w:p w:rsidR="006C2555" w:rsidRPr="003F7CB1" w:rsidRDefault="006C2555" w:rsidP="003F7CB1">
      <w:pPr>
        <w:ind w:firstLine="204"/>
        <w:jc w:val="both"/>
        <w:rPr>
          <w:i/>
        </w:rPr>
      </w:pPr>
      <w:r w:rsidRPr="003F7CB1">
        <w:rPr>
          <w:i/>
          <w:iCs/>
        </w:rPr>
        <w:t xml:space="preserve">aa) </w:t>
      </w:r>
      <w:r w:rsidRPr="003F7CB1">
        <w:rPr>
          <w:i/>
        </w:rPr>
        <w:t>rendszeres gyermekvédelmi kedvezményben részesül,</w:t>
      </w:r>
    </w:p>
    <w:p w:rsidR="006C2555" w:rsidRPr="003F7CB1" w:rsidRDefault="006C2555" w:rsidP="003F7CB1">
      <w:pPr>
        <w:ind w:firstLine="204"/>
        <w:jc w:val="both"/>
        <w:rPr>
          <w:i/>
        </w:rPr>
      </w:pPr>
      <w:r w:rsidRPr="003F7CB1">
        <w:rPr>
          <w:i/>
          <w:iCs/>
        </w:rPr>
        <w:t xml:space="preserve">ab) </w:t>
      </w:r>
      <w:r w:rsidRPr="003F7CB1">
        <w:rPr>
          <w:i/>
        </w:rPr>
        <w:t>tartósan beteg vagy fogyatékos, vagy olyan családban él, amelyben tartósan beteg vagy fogyatékos gyermeket nevelnek,</w:t>
      </w:r>
    </w:p>
    <w:p w:rsidR="006C2555" w:rsidRPr="003F7CB1" w:rsidRDefault="006C2555" w:rsidP="003F7CB1">
      <w:pPr>
        <w:ind w:firstLine="204"/>
        <w:jc w:val="both"/>
        <w:rPr>
          <w:i/>
        </w:rPr>
      </w:pPr>
      <w:r w:rsidRPr="003F7CB1">
        <w:rPr>
          <w:i/>
          <w:iCs/>
        </w:rPr>
        <w:t xml:space="preserve">ac) </w:t>
      </w:r>
      <w:r w:rsidRPr="003F7CB1">
        <w:rPr>
          <w:i/>
        </w:rPr>
        <w:t>olyan családban él, amelyben három vagy több gyermeket nevelnek,</w:t>
      </w:r>
    </w:p>
    <w:p w:rsidR="006C2555" w:rsidRPr="003F7CB1" w:rsidRDefault="006C2555" w:rsidP="003F7CB1">
      <w:pPr>
        <w:ind w:firstLine="204"/>
        <w:jc w:val="both"/>
        <w:rPr>
          <w:i/>
        </w:rPr>
      </w:pPr>
      <w:r w:rsidRPr="003F7CB1">
        <w:rPr>
          <w:i/>
          <w:iCs/>
        </w:rPr>
        <w:t xml:space="preserve">ad) </w:t>
      </w:r>
      <w:r w:rsidRPr="003F7CB1">
        <w:rPr>
          <w:i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 vagy</w:t>
      </w:r>
    </w:p>
    <w:p w:rsidR="006C2555" w:rsidRPr="003F7CB1" w:rsidRDefault="006C2555" w:rsidP="003F7CB1">
      <w:pPr>
        <w:ind w:firstLine="204"/>
        <w:jc w:val="both"/>
        <w:rPr>
          <w:i/>
        </w:rPr>
      </w:pPr>
      <w:r w:rsidRPr="003F7CB1">
        <w:rPr>
          <w:i/>
          <w:iCs/>
        </w:rPr>
        <w:t xml:space="preserve">ae) </w:t>
      </w:r>
      <w:r w:rsidRPr="003F7CB1">
        <w:rPr>
          <w:i/>
        </w:rPr>
        <w:t>nevelésbe vették;</w:t>
      </w:r>
    </w:p>
    <w:p w:rsidR="006C2555" w:rsidRPr="003F7CB1" w:rsidRDefault="006C2555" w:rsidP="003F7CB1">
      <w:pPr>
        <w:ind w:firstLine="204"/>
        <w:jc w:val="both"/>
        <w:rPr>
          <w:i/>
        </w:rPr>
      </w:pPr>
      <w:r w:rsidRPr="003F7CB1">
        <w:rPr>
          <w:i/>
          <w:iCs/>
        </w:rPr>
        <w:t xml:space="preserve">b) </w:t>
      </w:r>
      <w:r w:rsidRPr="003F7CB1">
        <w:rPr>
          <w:i/>
        </w:rPr>
        <w:t>az 1-8. évfolyamon nappali rendszerű iskolai oktatásban részt vevő tanuló számára, ha</w:t>
      </w:r>
    </w:p>
    <w:p w:rsidR="006C2555" w:rsidRPr="003F7CB1" w:rsidRDefault="006C2555" w:rsidP="003F7CB1">
      <w:pPr>
        <w:ind w:firstLine="204"/>
        <w:jc w:val="both"/>
        <w:rPr>
          <w:i/>
        </w:rPr>
      </w:pPr>
      <w:r w:rsidRPr="003F7CB1">
        <w:rPr>
          <w:i/>
          <w:iCs/>
        </w:rPr>
        <w:t xml:space="preserve">ba) </w:t>
      </w:r>
      <w:r w:rsidRPr="003F7CB1">
        <w:rPr>
          <w:i/>
        </w:rPr>
        <w:t>rendszeres gyermekvédelmi kedvezményben részesül, vagy</w:t>
      </w:r>
    </w:p>
    <w:p w:rsidR="006C2555" w:rsidRPr="003F7CB1" w:rsidRDefault="006C2555" w:rsidP="003F7CB1">
      <w:pPr>
        <w:ind w:firstLine="204"/>
        <w:jc w:val="both"/>
        <w:rPr>
          <w:i/>
        </w:rPr>
      </w:pPr>
      <w:r w:rsidRPr="003F7CB1">
        <w:rPr>
          <w:i/>
          <w:iCs/>
        </w:rPr>
        <w:t xml:space="preserve">bb) </w:t>
      </w:r>
      <w:r w:rsidRPr="003F7CB1">
        <w:rPr>
          <w:i/>
        </w:rPr>
        <w:t>nevelésbe vették;</w:t>
      </w:r>
    </w:p>
    <w:p w:rsidR="006C2555" w:rsidRPr="003F7CB1" w:rsidRDefault="006C2555" w:rsidP="003F7CB1">
      <w:pPr>
        <w:ind w:firstLine="204"/>
        <w:jc w:val="both"/>
        <w:rPr>
          <w:i/>
        </w:rPr>
      </w:pPr>
      <w:r w:rsidRPr="003F7CB1">
        <w:rPr>
          <w:i/>
          <w:iCs/>
        </w:rPr>
        <w:t xml:space="preserve">c) </w:t>
      </w:r>
      <w:r w:rsidRPr="003F7CB1">
        <w:rPr>
          <w:i/>
        </w:rPr>
        <w:t xml:space="preserve">azon </w:t>
      </w:r>
      <w:r w:rsidRPr="003F7CB1">
        <w:rPr>
          <w:i/>
          <w:iCs/>
        </w:rPr>
        <w:t xml:space="preserve">a) </w:t>
      </w:r>
      <w:r w:rsidRPr="003F7CB1">
        <w:rPr>
          <w:i/>
        </w:rPr>
        <w:t xml:space="preserve">és </w:t>
      </w:r>
      <w:r w:rsidRPr="003F7CB1">
        <w:rPr>
          <w:i/>
          <w:iCs/>
        </w:rPr>
        <w:t xml:space="preserve">b) </w:t>
      </w:r>
      <w:r w:rsidRPr="003F7CB1">
        <w:rPr>
          <w:i/>
        </w:rPr>
        <w:t>pont szerinti életkorú, rendszeres gyermekvédelmi kedvezményben részesülő gyermek számára, akit fogyatékos gyermekek számára nappali ellátást nyújtó, az Szt. hatálya alá tartozó fogyatékosok nappali intézményében helyeztek el;</w:t>
      </w:r>
    </w:p>
    <w:p w:rsidR="006C2555" w:rsidRPr="003F7CB1" w:rsidRDefault="006C2555" w:rsidP="003F7CB1">
      <w:pPr>
        <w:ind w:firstLine="204"/>
        <w:jc w:val="both"/>
        <w:rPr>
          <w:i/>
        </w:rPr>
      </w:pPr>
      <w:r w:rsidRPr="003F7CB1">
        <w:rPr>
          <w:i/>
          <w:iCs/>
        </w:rPr>
        <w:t xml:space="preserve">d) </w:t>
      </w:r>
      <w:r w:rsidRPr="003F7CB1">
        <w:rPr>
          <w:i/>
        </w:rPr>
        <w:t>az 1-8. évfolyamon felül nappali rendszerű iskolai oktatásban részt vevő tanuló számára, ha</w:t>
      </w:r>
    </w:p>
    <w:p w:rsidR="006C2555" w:rsidRPr="003F7CB1" w:rsidRDefault="006C2555" w:rsidP="003F7CB1">
      <w:pPr>
        <w:ind w:firstLine="204"/>
        <w:jc w:val="both"/>
        <w:rPr>
          <w:i/>
        </w:rPr>
      </w:pPr>
      <w:r w:rsidRPr="003F7CB1">
        <w:rPr>
          <w:i/>
          <w:iCs/>
        </w:rPr>
        <w:t xml:space="preserve">da) </w:t>
      </w:r>
      <w:r w:rsidRPr="003F7CB1">
        <w:rPr>
          <w:i/>
        </w:rPr>
        <w:t>nevelésbe vették, vagy</w:t>
      </w:r>
    </w:p>
    <w:p w:rsidR="006C2555" w:rsidRPr="003F7CB1" w:rsidRDefault="006C2555" w:rsidP="003F7CB1">
      <w:pPr>
        <w:ind w:firstLine="204"/>
        <w:jc w:val="both"/>
        <w:rPr>
          <w:i/>
        </w:rPr>
      </w:pPr>
      <w:r w:rsidRPr="003F7CB1">
        <w:rPr>
          <w:i/>
          <w:iCs/>
        </w:rPr>
        <w:t xml:space="preserve">db) </w:t>
      </w:r>
      <w:r w:rsidRPr="003F7CB1">
        <w:rPr>
          <w:i/>
        </w:rPr>
        <w:t>utógondozói ellátásban részesül.</w:t>
      </w:r>
      <w:r>
        <w:rPr>
          <w:i/>
        </w:rPr>
        <w:t>”</w:t>
      </w:r>
    </w:p>
    <w:p w:rsidR="006C2555" w:rsidRDefault="006C2555" w:rsidP="00CD093D">
      <w:pPr>
        <w:widowControl w:val="0"/>
        <w:autoSpaceDE w:val="0"/>
        <w:jc w:val="both"/>
        <w:rPr>
          <w:bCs/>
        </w:rPr>
      </w:pPr>
    </w:p>
    <w:p w:rsidR="006C2555" w:rsidRPr="003F7CB1" w:rsidRDefault="006C2555" w:rsidP="003F7CB1">
      <w:pPr>
        <w:widowControl w:val="0"/>
        <w:autoSpaceDE w:val="0"/>
        <w:jc w:val="both"/>
        <w:rPr>
          <w:i/>
        </w:rPr>
      </w:pPr>
      <w:r w:rsidRPr="003F7CB1">
        <w:t>A Gyvt. 21/B. § (2) bekezdés szerint „</w:t>
      </w:r>
      <w:r w:rsidRPr="003F7CB1">
        <w:rPr>
          <w:i/>
        </w:rPr>
        <w:t xml:space="preserve">Az intézményi gyermekétkeztetést </w:t>
      </w:r>
      <w:r w:rsidRPr="003F7CB1">
        <w:rPr>
          <w:i/>
          <w:u w:val="single"/>
        </w:rPr>
        <w:t>az intézményi térítési díj 50%-os normatív kedvezményével</w:t>
      </w:r>
      <w:r w:rsidRPr="003F7CB1">
        <w:rPr>
          <w:i/>
        </w:rPr>
        <w:t xml:space="preserve"> kell biztosítani</w:t>
      </w:r>
    </w:p>
    <w:p w:rsidR="006C2555" w:rsidRPr="003F7CB1" w:rsidRDefault="006C2555" w:rsidP="003F7CB1">
      <w:pPr>
        <w:ind w:firstLine="204"/>
        <w:jc w:val="both"/>
        <w:rPr>
          <w:i/>
        </w:rPr>
      </w:pPr>
      <w:r w:rsidRPr="003F7CB1">
        <w:rPr>
          <w:i/>
          <w:iCs/>
        </w:rPr>
        <w:t xml:space="preserve">a) </w:t>
      </w:r>
      <w:r w:rsidRPr="003F7CB1">
        <w:rPr>
          <w:i/>
        </w:rPr>
        <w:t>az 1-8. évfolyamon felül nappali rendszerű iskolai oktatásban részt vevő tanuló számára, ha rendszeres gyermekvédelmi kedvezményben részesül;</w:t>
      </w:r>
    </w:p>
    <w:p w:rsidR="006C2555" w:rsidRPr="003F7CB1" w:rsidRDefault="006C2555" w:rsidP="003F7CB1">
      <w:pPr>
        <w:ind w:firstLine="204"/>
        <w:jc w:val="both"/>
        <w:rPr>
          <w:i/>
        </w:rPr>
      </w:pPr>
      <w:r w:rsidRPr="003F7CB1">
        <w:rPr>
          <w:i/>
          <w:iCs/>
        </w:rPr>
        <w:t xml:space="preserve">b) </w:t>
      </w:r>
      <w:r w:rsidRPr="003F7CB1">
        <w:rPr>
          <w:i/>
        </w:rPr>
        <w:t xml:space="preserve">az 1-8. és az azon felüli évfolyamon nappali rendszerű iskolai oktatásban részt vevő tanuló számára, ha olyan családban él, amelyben három vagy több gyermeket nevelnek, feltéve, hogy az (1) bekezdés </w:t>
      </w:r>
      <w:r w:rsidRPr="003F7CB1">
        <w:rPr>
          <w:i/>
          <w:iCs/>
        </w:rPr>
        <w:t xml:space="preserve">b) </w:t>
      </w:r>
      <w:r w:rsidRPr="003F7CB1">
        <w:rPr>
          <w:i/>
        </w:rPr>
        <w:t xml:space="preserve">pont </w:t>
      </w:r>
      <w:r w:rsidRPr="003F7CB1">
        <w:rPr>
          <w:i/>
          <w:iCs/>
        </w:rPr>
        <w:t xml:space="preserve">ba) </w:t>
      </w:r>
      <w:r w:rsidRPr="003F7CB1">
        <w:rPr>
          <w:i/>
        </w:rPr>
        <w:t>alpontja alapján a tanuló nem részesül ingyenes intézményi gyermekétkeztetésben;</w:t>
      </w:r>
    </w:p>
    <w:p w:rsidR="006C2555" w:rsidRPr="003F7CB1" w:rsidRDefault="006C2555" w:rsidP="003F7CB1">
      <w:pPr>
        <w:ind w:firstLine="204"/>
        <w:jc w:val="both"/>
        <w:rPr>
          <w:i/>
        </w:rPr>
      </w:pPr>
      <w:r w:rsidRPr="003F7CB1">
        <w:rPr>
          <w:i/>
          <w:iCs/>
        </w:rPr>
        <w:t xml:space="preserve">c) </w:t>
      </w:r>
      <w:r w:rsidRPr="003F7CB1">
        <w:rPr>
          <w:i/>
        </w:rPr>
        <w:t xml:space="preserve">az (1) bekezdés </w:t>
      </w:r>
      <w:r w:rsidRPr="003F7CB1">
        <w:rPr>
          <w:i/>
          <w:iCs/>
        </w:rPr>
        <w:t xml:space="preserve">a), b) </w:t>
      </w:r>
      <w:r w:rsidRPr="003F7CB1">
        <w:rPr>
          <w:i/>
        </w:rPr>
        <w:t xml:space="preserve">és </w:t>
      </w:r>
      <w:r w:rsidRPr="003F7CB1">
        <w:rPr>
          <w:i/>
          <w:iCs/>
        </w:rPr>
        <w:t xml:space="preserve">d) </w:t>
      </w:r>
      <w:r w:rsidRPr="003F7CB1">
        <w:rPr>
          <w:i/>
        </w:rPr>
        <w:t>pontja szerinti életkorú, tartósan beteg vagy fogyatékos gyermek számára, feltéve, hogy az (1) bekezdés alapján a gyermek nem részesül ingyenes intézményi gyermekétkeztetésben.</w:t>
      </w:r>
      <w:r>
        <w:rPr>
          <w:i/>
        </w:rPr>
        <w:t>”</w:t>
      </w:r>
    </w:p>
    <w:p w:rsidR="006C2555" w:rsidRDefault="006C2555" w:rsidP="006E72F8">
      <w:pPr>
        <w:widowControl w:val="0"/>
        <w:autoSpaceDE w:val="0"/>
        <w:jc w:val="both"/>
      </w:pPr>
    </w:p>
    <w:p w:rsidR="006C2555" w:rsidRDefault="006C2555" w:rsidP="006E72F8">
      <w:pPr>
        <w:widowControl w:val="0"/>
        <w:autoSpaceDE w:val="0"/>
        <w:jc w:val="both"/>
      </w:pPr>
      <w:r w:rsidRPr="003F7CB1">
        <w:t>A fenti mentesség és kedvezmények biztosításakor a Gyvt. 21/B. § (3)-(9) bekezdéseire figyelemmel kell lenni.</w:t>
      </w:r>
    </w:p>
    <w:p w:rsidR="006C2555" w:rsidRDefault="006C2555" w:rsidP="006E72F8">
      <w:pPr>
        <w:widowControl w:val="0"/>
        <w:autoSpaceDE w:val="0"/>
        <w:jc w:val="both"/>
        <w:rPr>
          <w:b/>
        </w:rPr>
      </w:pPr>
    </w:p>
    <w:p w:rsidR="006C2555" w:rsidRPr="00F57941" w:rsidRDefault="006C2555" w:rsidP="00443614">
      <w:pPr>
        <w:widowControl w:val="0"/>
        <w:autoSpaceDE w:val="0"/>
        <w:jc w:val="both"/>
        <w:rPr>
          <w:b/>
          <w:bCs/>
        </w:rPr>
      </w:pPr>
      <w:r w:rsidRPr="00F57941">
        <w:rPr>
          <w:b/>
          <w:bCs/>
        </w:rPr>
        <w:t>a) Az ingyenesen és kedvezménnyel  étkező gyermekek számának</w:t>
      </w:r>
      <w:r>
        <w:rPr>
          <w:b/>
          <w:bCs/>
        </w:rPr>
        <w:t>*</w:t>
      </w:r>
      <w:r w:rsidRPr="00F57941">
        <w:rPr>
          <w:b/>
          <w:bCs/>
        </w:rPr>
        <w:t xml:space="preserve"> alakulása:</w:t>
      </w:r>
    </w:p>
    <w:p w:rsidR="006C2555" w:rsidRDefault="006C2555" w:rsidP="00EC654B">
      <w:pPr>
        <w:widowControl w:val="0"/>
        <w:autoSpaceDE w:val="0"/>
        <w:jc w:val="center"/>
        <w:rPr>
          <w:b/>
          <w:color w:val="FF0000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0A0"/>
      </w:tblPr>
      <w:tblGrid>
        <w:gridCol w:w="1440"/>
        <w:gridCol w:w="828"/>
        <w:gridCol w:w="851"/>
        <w:gridCol w:w="992"/>
        <w:gridCol w:w="851"/>
        <w:gridCol w:w="992"/>
        <w:gridCol w:w="992"/>
        <w:gridCol w:w="992"/>
      </w:tblGrid>
      <w:tr w:rsidR="006C2555" w:rsidRPr="006F7F13" w:rsidTr="006F7F13">
        <w:trPr>
          <w:trHeight w:val="555"/>
          <w:jc w:val="center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Kedvezmény mértéke</w:t>
            </w:r>
          </w:p>
        </w:tc>
        <w:tc>
          <w:tcPr>
            <w:tcW w:w="64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Kedvezményben részesülő gyermekek száma</w:t>
            </w:r>
          </w:p>
        </w:tc>
      </w:tr>
      <w:tr w:rsidR="006C2555" w:rsidRPr="006F7F13" w:rsidTr="006F7F13">
        <w:trPr>
          <w:trHeight w:val="405"/>
          <w:jc w:val="center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2555" w:rsidRPr="006F7F13" w:rsidRDefault="006C2555" w:rsidP="006F7F1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2013.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2015.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2016.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2019.</w:t>
            </w:r>
          </w:p>
        </w:tc>
      </w:tr>
      <w:tr w:rsidR="006C2555" w:rsidRPr="006F7F13" w:rsidTr="006F7F13">
        <w:trPr>
          <w:trHeight w:val="37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555" w:rsidRPr="006F7F13" w:rsidRDefault="006C2555" w:rsidP="006F7F1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100 %-os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5A289C" w:rsidRDefault="006C2555" w:rsidP="006F7F1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A289C">
              <w:rPr>
                <w:rFonts w:ascii="Arial" w:hAnsi="Arial" w:cs="Arial"/>
                <w:sz w:val="20"/>
                <w:szCs w:val="20"/>
                <w:lang w:eastAsia="hu-HU"/>
              </w:rPr>
              <w:t>20</w:t>
            </w:r>
          </w:p>
        </w:tc>
      </w:tr>
      <w:tr w:rsidR="006C2555" w:rsidRPr="006F7F13" w:rsidTr="006F7F13">
        <w:trPr>
          <w:trHeight w:val="43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555" w:rsidRPr="006F7F13" w:rsidRDefault="006C2555" w:rsidP="006F7F1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50 %-os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5A289C" w:rsidRDefault="006C2555" w:rsidP="006F7F1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A289C">
              <w:rPr>
                <w:rFonts w:ascii="Arial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6F7F13" w:rsidRDefault="006C2555" w:rsidP="006F7F1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F7F13">
              <w:rPr>
                <w:rFonts w:ascii="Arial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2555" w:rsidRPr="005A289C" w:rsidRDefault="006C2555" w:rsidP="006F7F1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A289C">
              <w:rPr>
                <w:rFonts w:ascii="Arial" w:hAnsi="Arial" w:cs="Arial"/>
                <w:sz w:val="20"/>
                <w:szCs w:val="20"/>
                <w:lang w:eastAsia="hu-HU"/>
              </w:rPr>
              <w:t>12</w:t>
            </w:r>
          </w:p>
        </w:tc>
      </w:tr>
    </w:tbl>
    <w:p w:rsidR="006C2555" w:rsidRDefault="006C2555" w:rsidP="00A00EFF">
      <w:pPr>
        <w:widowControl w:val="0"/>
        <w:autoSpaceDE w:val="0"/>
        <w:jc w:val="both"/>
        <w:rPr>
          <w:i/>
        </w:rPr>
      </w:pPr>
      <w:r w:rsidRPr="00A00EFF">
        <w:rPr>
          <w:i/>
        </w:rPr>
        <w:t>* Ellátotti mutatószám!</w:t>
      </w:r>
    </w:p>
    <w:p w:rsidR="006C2555" w:rsidRPr="00A00EFF" w:rsidRDefault="006C2555" w:rsidP="00A00EFF">
      <w:pPr>
        <w:widowControl w:val="0"/>
        <w:autoSpaceDE w:val="0"/>
        <w:jc w:val="both"/>
        <w:rPr>
          <w:i/>
        </w:rPr>
      </w:pPr>
    </w:p>
    <w:p w:rsidR="006C2555" w:rsidRPr="00F57941" w:rsidRDefault="006C2555" w:rsidP="00CD093D">
      <w:pPr>
        <w:widowControl w:val="0"/>
        <w:autoSpaceDE w:val="0"/>
        <w:jc w:val="both"/>
        <w:rPr>
          <w:b/>
        </w:rPr>
      </w:pPr>
      <w:r w:rsidRPr="00F57941">
        <w:rPr>
          <w:b/>
        </w:rPr>
        <w:t>b) Az ingyenesen és kedvezménnyel étkező gyermekek számának</w:t>
      </w:r>
      <w:r>
        <w:rPr>
          <w:b/>
        </w:rPr>
        <w:t>*</w:t>
      </w:r>
      <w:r w:rsidRPr="00F57941">
        <w:rPr>
          <w:b/>
        </w:rPr>
        <w:t xml:space="preserve"> alakulása korcsoportos megoszlás szerint:</w:t>
      </w:r>
    </w:p>
    <w:p w:rsidR="006C2555" w:rsidRPr="00F57941" w:rsidRDefault="006C2555" w:rsidP="003F7CB1">
      <w:pPr>
        <w:widowControl w:val="0"/>
        <w:autoSpaceDE w:val="0"/>
        <w:jc w:val="both"/>
        <w:rPr>
          <w:i/>
        </w:rPr>
      </w:pPr>
    </w:p>
    <w:tbl>
      <w:tblPr>
        <w:tblW w:w="9385" w:type="dxa"/>
        <w:tblInd w:w="-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14"/>
        <w:gridCol w:w="2627"/>
        <w:gridCol w:w="992"/>
        <w:gridCol w:w="1134"/>
        <w:gridCol w:w="1008"/>
        <w:gridCol w:w="976"/>
        <w:gridCol w:w="1134"/>
      </w:tblGrid>
      <w:tr w:rsidR="006C2555" w:rsidTr="005A289C">
        <w:trPr>
          <w:trHeight w:val="478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Kedvezmény mértéke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Kedvezmény igénybevevő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2015.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2016.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2017.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2018.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2019.</w:t>
            </w:r>
          </w:p>
        </w:tc>
      </w:tr>
      <w:tr w:rsidR="006C2555" w:rsidTr="005A289C">
        <w:trPr>
          <w:trHeight w:val="420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óvodás gyermek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Pr="003B62E6" w:rsidRDefault="006C2555" w:rsidP="005A289C">
            <w:pPr>
              <w:tabs>
                <w:tab w:val="center" w:pos="-2668"/>
                <w:tab w:val="right" w:pos="932"/>
              </w:tabs>
              <w:suppressAutoHyphens w:val="0"/>
              <w:autoSpaceDE w:val="0"/>
              <w:autoSpaceDN w:val="0"/>
              <w:adjustRightInd w:val="0"/>
              <w:ind w:left="-6268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3B62E6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0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ab/>
              <w:t>0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 w:rsidP="005A28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Pr="005A289C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A289C">
              <w:rPr>
                <w:rFonts w:ascii="Arial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6C2555" w:rsidTr="005A289C">
        <w:trPr>
          <w:trHeight w:val="449"/>
        </w:trPr>
        <w:tc>
          <w:tcPr>
            <w:tcW w:w="15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általános iskolás gyermek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Pr="005A289C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A289C">
              <w:rPr>
                <w:rFonts w:ascii="Arial" w:hAnsi="Arial" w:cs="Arial"/>
                <w:sz w:val="20"/>
                <w:szCs w:val="20"/>
                <w:lang w:eastAsia="hu-H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Pr="005A289C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A289C">
              <w:rPr>
                <w:rFonts w:ascii="Arial" w:hAnsi="Arial" w:cs="Arial"/>
                <w:sz w:val="20"/>
                <w:szCs w:val="20"/>
                <w:lang w:eastAsia="hu-HU"/>
              </w:rPr>
              <w:t>12</w:t>
            </w:r>
          </w:p>
        </w:tc>
      </w:tr>
      <w:tr w:rsidR="006C2555" w:rsidTr="005A289C">
        <w:trPr>
          <w:trHeight w:val="434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100%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óvodás gyermek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Pr="005A289C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A289C">
              <w:rPr>
                <w:rFonts w:ascii="Arial" w:hAnsi="Arial" w:cs="Arial"/>
                <w:sz w:val="20"/>
                <w:szCs w:val="20"/>
                <w:lang w:eastAsia="hu-HU"/>
              </w:rPr>
              <w:t>16</w:t>
            </w:r>
          </w:p>
        </w:tc>
      </w:tr>
      <w:tr w:rsidR="006C2555" w:rsidTr="005A289C">
        <w:trPr>
          <w:trHeight w:val="449"/>
        </w:trPr>
        <w:tc>
          <w:tcPr>
            <w:tcW w:w="15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általános iskolás gyermek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55" w:rsidRPr="005A289C" w:rsidRDefault="006C25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A289C">
              <w:rPr>
                <w:rFonts w:ascii="Arial" w:hAnsi="Arial" w:cs="Arial"/>
                <w:sz w:val="20"/>
                <w:szCs w:val="20"/>
                <w:lang w:eastAsia="hu-HU"/>
              </w:rPr>
              <w:t>4</w:t>
            </w:r>
          </w:p>
        </w:tc>
      </w:tr>
    </w:tbl>
    <w:p w:rsidR="006C2555" w:rsidRPr="00A00EFF" w:rsidRDefault="006C2555" w:rsidP="003F7CB1">
      <w:pPr>
        <w:widowControl w:val="0"/>
        <w:autoSpaceDE w:val="0"/>
        <w:jc w:val="both"/>
        <w:rPr>
          <w:i/>
        </w:rPr>
      </w:pPr>
      <w:r w:rsidRPr="00A00EFF">
        <w:rPr>
          <w:i/>
        </w:rPr>
        <w:t>* Ellátotti mutatószám!</w:t>
      </w:r>
    </w:p>
    <w:p w:rsidR="006C2555" w:rsidRDefault="006C2555" w:rsidP="003F7CB1">
      <w:pPr>
        <w:widowControl w:val="0"/>
        <w:autoSpaceDE w:val="0"/>
        <w:jc w:val="both"/>
        <w:rPr>
          <w:i/>
          <w:color w:val="FF0000"/>
        </w:rPr>
      </w:pPr>
    </w:p>
    <w:p w:rsidR="006C2555" w:rsidRPr="00A00EFF" w:rsidRDefault="006C2555" w:rsidP="003F7CB1">
      <w:pPr>
        <w:widowControl w:val="0"/>
        <w:autoSpaceDE w:val="0"/>
        <w:jc w:val="both"/>
        <w:rPr>
          <w:i/>
        </w:rPr>
      </w:pPr>
      <w:r w:rsidRPr="00A00EFF">
        <w:rPr>
          <w:i/>
        </w:rPr>
        <w:t>A kedvezményes gyermekétkeztetésben részesülők száma 2013-2015. időszakban csökkenést mutat, majd 2016. évben növekedett, 2017. évben stagnált, 2018. évtől ismét növekedett.</w:t>
      </w:r>
    </w:p>
    <w:p w:rsidR="006C2555" w:rsidRPr="00BC53CE" w:rsidRDefault="006C2555" w:rsidP="00CD093D">
      <w:pPr>
        <w:widowControl w:val="0"/>
        <w:autoSpaceDE w:val="0"/>
        <w:jc w:val="both"/>
        <w:rPr>
          <w:color w:val="FF0000"/>
        </w:rPr>
      </w:pPr>
    </w:p>
    <w:p w:rsidR="006C2555" w:rsidRDefault="006C2555" w:rsidP="00F42F8D">
      <w:pPr>
        <w:pStyle w:val="cf0agj"/>
        <w:spacing w:before="0" w:beforeAutospacing="0" w:after="0" w:afterAutospacing="0"/>
        <w:jc w:val="both"/>
        <w:rPr>
          <w:b/>
          <w:u w:val="single"/>
        </w:rPr>
      </w:pPr>
    </w:p>
    <w:p w:rsidR="006C2555" w:rsidRPr="00F57941" w:rsidRDefault="006C2555" w:rsidP="00F42F8D">
      <w:pPr>
        <w:pStyle w:val="cf0agj"/>
        <w:spacing w:before="0" w:beforeAutospacing="0" w:after="0" w:afterAutospacing="0"/>
        <w:jc w:val="both"/>
        <w:rPr>
          <w:b/>
          <w:u w:val="single"/>
        </w:rPr>
      </w:pPr>
      <w:r w:rsidRPr="00F57941">
        <w:rPr>
          <w:b/>
          <w:u w:val="single"/>
        </w:rPr>
        <w:t xml:space="preserve">Szünidei gyermekétkeztetés </w:t>
      </w:r>
    </w:p>
    <w:p w:rsidR="006C2555" w:rsidRDefault="006C2555" w:rsidP="00F42F8D">
      <w:pPr>
        <w:pStyle w:val="cf0agj"/>
        <w:spacing w:before="0" w:beforeAutospacing="0" w:after="0" w:afterAutospacing="0"/>
        <w:jc w:val="both"/>
        <w:rPr>
          <w:b/>
        </w:rPr>
      </w:pPr>
      <w:r w:rsidRPr="00F57941">
        <w:t>2016. január 1. napjától a Gyvt. 21/C. § (1) bekezdés a) pontjának szabályozása alapján a települési</w:t>
      </w:r>
      <w:r w:rsidRPr="00E962EB">
        <w:t xml:space="preserve"> önkormányzat </w:t>
      </w:r>
      <w:r w:rsidRPr="00E962EB">
        <w:rPr>
          <w:b/>
        </w:rPr>
        <w:t>a szünidei gyermekétkeztetés keretében a szülő, törvényes képviselő kérelmére</w:t>
      </w:r>
      <w:r w:rsidRPr="00E962EB">
        <w:t xml:space="preserve"> </w:t>
      </w:r>
      <w:r w:rsidRPr="00E962EB">
        <w:rPr>
          <w:b/>
        </w:rPr>
        <w:t>a déli meleg főétkezést</w:t>
      </w:r>
      <w:r w:rsidRPr="00E962EB">
        <w:t xml:space="preserve"> a hátrányos helyzetű gyermek és a rendszeres gyermekvédelmi kedvezményben részesülő, halmozottan hátrányos helyzetű gyermek részére </w:t>
      </w:r>
      <w:r w:rsidRPr="00E962EB">
        <w:rPr>
          <w:b/>
        </w:rPr>
        <w:t>ingyenesen biztosítja.</w:t>
      </w:r>
    </w:p>
    <w:p w:rsidR="006C2555" w:rsidRPr="00E962EB" w:rsidRDefault="006C2555" w:rsidP="00F42F8D">
      <w:pPr>
        <w:pStyle w:val="cf0agj"/>
        <w:spacing w:before="0" w:beforeAutospacing="0" w:after="0" w:afterAutospacing="0"/>
        <w:jc w:val="both"/>
        <w:rPr>
          <w:b/>
        </w:rPr>
      </w:pPr>
    </w:p>
    <w:p w:rsidR="006C2555" w:rsidRPr="00E962EB" w:rsidRDefault="006C2555" w:rsidP="00F42F8D">
      <w:pPr>
        <w:widowControl w:val="0"/>
        <w:autoSpaceDE w:val="0"/>
        <w:jc w:val="both"/>
      </w:pPr>
    </w:p>
    <w:p w:rsidR="006C2555" w:rsidRPr="00BC53CE" w:rsidRDefault="006C2555" w:rsidP="00F42F8D">
      <w:pPr>
        <w:widowControl w:val="0"/>
        <w:autoSpaceDE w:val="0"/>
        <w:jc w:val="both"/>
      </w:pPr>
      <w:r w:rsidRPr="00BC53CE">
        <w:t>2019. évben szülői nyilatkozatok (kérelem) alapján a szünidei ingyenes gyermekétkeztetést igénybe vette:</w:t>
      </w:r>
    </w:p>
    <w:p w:rsidR="006C2555" w:rsidRPr="00BC53CE" w:rsidRDefault="006C2555" w:rsidP="00F42F8D">
      <w:pPr>
        <w:widowControl w:val="0"/>
        <w:tabs>
          <w:tab w:val="left" w:pos="2160"/>
        </w:tabs>
        <w:autoSpaceDE w:val="0"/>
        <w:jc w:val="center"/>
        <w:rPr>
          <w:b/>
        </w:rPr>
      </w:pPr>
      <w:r w:rsidRPr="00BC53CE">
        <w:rPr>
          <w:b/>
        </w:rPr>
        <w:t>Tavaszi szünetben:</w:t>
      </w:r>
      <w:r w:rsidRPr="00BC53CE">
        <w:rPr>
          <w:b/>
        </w:rPr>
        <w:tab/>
        <w:t xml:space="preserve"> 2 gyermek</w:t>
      </w:r>
    </w:p>
    <w:p w:rsidR="006C2555" w:rsidRPr="00BC53CE" w:rsidRDefault="006C2555" w:rsidP="00F42F8D">
      <w:pPr>
        <w:widowControl w:val="0"/>
        <w:tabs>
          <w:tab w:val="left" w:pos="2160"/>
        </w:tabs>
        <w:autoSpaceDE w:val="0"/>
        <w:jc w:val="center"/>
        <w:rPr>
          <w:b/>
        </w:rPr>
      </w:pPr>
      <w:r w:rsidRPr="00BC53CE">
        <w:rPr>
          <w:b/>
        </w:rPr>
        <w:t>Nyári szünetben:</w:t>
      </w:r>
      <w:r w:rsidRPr="00BC53CE">
        <w:rPr>
          <w:b/>
        </w:rPr>
        <w:tab/>
        <w:t xml:space="preserve"> 3 gyermek</w:t>
      </w:r>
    </w:p>
    <w:p w:rsidR="006C2555" w:rsidRPr="00BC53CE" w:rsidRDefault="006C2555" w:rsidP="00F42F8D">
      <w:pPr>
        <w:widowControl w:val="0"/>
        <w:tabs>
          <w:tab w:val="left" w:pos="2160"/>
        </w:tabs>
        <w:autoSpaceDE w:val="0"/>
        <w:jc w:val="center"/>
        <w:rPr>
          <w:b/>
        </w:rPr>
      </w:pPr>
      <w:r w:rsidRPr="00BC53CE">
        <w:rPr>
          <w:b/>
        </w:rPr>
        <w:t xml:space="preserve">Őszi szünetben: </w:t>
      </w:r>
      <w:r w:rsidRPr="00BC53CE">
        <w:rPr>
          <w:b/>
        </w:rPr>
        <w:tab/>
        <w:t xml:space="preserve"> 3 gyermek</w:t>
      </w:r>
    </w:p>
    <w:p w:rsidR="006C2555" w:rsidRPr="00BC53CE" w:rsidRDefault="006C2555" w:rsidP="00F42F8D">
      <w:pPr>
        <w:widowControl w:val="0"/>
        <w:tabs>
          <w:tab w:val="left" w:pos="2160"/>
        </w:tabs>
        <w:autoSpaceDE w:val="0"/>
        <w:jc w:val="center"/>
        <w:rPr>
          <w:b/>
        </w:rPr>
      </w:pPr>
      <w:r w:rsidRPr="00BC53CE">
        <w:rPr>
          <w:b/>
        </w:rPr>
        <w:t xml:space="preserve">Téli szünetben: </w:t>
      </w:r>
      <w:r w:rsidRPr="00BC53CE">
        <w:rPr>
          <w:b/>
        </w:rPr>
        <w:tab/>
        <w:t xml:space="preserve"> 3 gyermek</w:t>
      </w:r>
    </w:p>
    <w:p w:rsidR="006C2555" w:rsidRPr="00BC53CE" w:rsidRDefault="006C2555" w:rsidP="00CD093D">
      <w:pPr>
        <w:widowControl w:val="0"/>
        <w:autoSpaceDE w:val="0"/>
        <w:jc w:val="both"/>
        <w:rPr>
          <w:b/>
        </w:rPr>
      </w:pPr>
    </w:p>
    <w:p w:rsidR="006C2555" w:rsidRDefault="006C2555" w:rsidP="00CD093D">
      <w:pPr>
        <w:widowControl w:val="0"/>
        <w:autoSpaceDE w:val="0"/>
        <w:jc w:val="both"/>
        <w:rPr>
          <w:color w:val="FF0000"/>
        </w:rPr>
      </w:pPr>
    </w:p>
    <w:p w:rsidR="006C2555" w:rsidRPr="007E5DDC" w:rsidRDefault="006C2555" w:rsidP="00CD093D">
      <w:pPr>
        <w:widowControl w:val="0"/>
        <w:autoSpaceDE w:val="0"/>
        <w:jc w:val="both"/>
        <w:rPr>
          <w:b/>
          <w:color w:val="000000"/>
          <w:sz w:val="28"/>
          <w:szCs w:val="28"/>
        </w:rPr>
      </w:pPr>
      <w:r w:rsidRPr="007E5DDC">
        <w:rPr>
          <w:b/>
          <w:color w:val="000000"/>
          <w:sz w:val="28"/>
          <w:szCs w:val="28"/>
        </w:rPr>
        <w:t>III.</w:t>
      </w:r>
    </w:p>
    <w:p w:rsidR="006C2555" w:rsidRPr="007E5DDC" w:rsidRDefault="006C2555" w:rsidP="00CD093D">
      <w:pPr>
        <w:widowControl w:val="0"/>
        <w:autoSpaceDE w:val="0"/>
        <w:jc w:val="both"/>
        <w:rPr>
          <w:b/>
          <w:sz w:val="28"/>
          <w:szCs w:val="28"/>
          <w:u w:val="single"/>
        </w:rPr>
      </w:pPr>
      <w:r w:rsidRPr="007E5DDC">
        <w:rPr>
          <w:b/>
          <w:sz w:val="28"/>
          <w:szCs w:val="28"/>
          <w:u w:val="single"/>
        </w:rPr>
        <w:t>Az önkormányzat által biztosított személyes gondoskodást nyújtó ellátások:</w:t>
      </w:r>
    </w:p>
    <w:p w:rsidR="006C2555" w:rsidRDefault="006C2555" w:rsidP="00CD093D">
      <w:pPr>
        <w:jc w:val="both"/>
      </w:pPr>
    </w:p>
    <w:p w:rsidR="006C2555" w:rsidRDefault="006C2555" w:rsidP="00CD093D">
      <w:pPr>
        <w:jc w:val="both"/>
        <w:rPr>
          <w:b/>
        </w:rPr>
      </w:pPr>
      <w:r>
        <w:rPr>
          <w:b/>
        </w:rPr>
        <w:t xml:space="preserve">Gyermekjóléti szolgáltatás </w:t>
      </w:r>
    </w:p>
    <w:p w:rsidR="006C2555" w:rsidRDefault="006C2555" w:rsidP="00CD093D">
      <w:pPr>
        <w:jc w:val="both"/>
      </w:pPr>
    </w:p>
    <w:p w:rsidR="006C2555" w:rsidRPr="00961C37" w:rsidRDefault="006C2555" w:rsidP="00CD093D">
      <w:pPr>
        <w:jc w:val="both"/>
        <w:rPr>
          <w:i/>
        </w:rPr>
      </w:pPr>
      <w:r>
        <w:t>2016. január 1. napjától a gyermekjóléti szolgáltatás „intézményi rendszerében” változás következett be.</w:t>
      </w:r>
      <w:r w:rsidRPr="00961C37">
        <w:t xml:space="preserve"> </w:t>
      </w:r>
      <w:r>
        <w:t xml:space="preserve">A Gyvt. 40. § (1) bekezdés alapján a: </w:t>
      </w:r>
      <w:r w:rsidRPr="00961C37">
        <w:rPr>
          <w:i/>
        </w:rPr>
        <w:t>„Gyermekjóléti szolgáltatás a családsegítéssel egy szolgáltató - a család- és gyermekjóléti szolgálat (a továbbiakban: gyermekjóléti szolgálat) - keretében működtethető. A gyermekjóléti szolgálat ellátja a 39. § és a (2) bekezdés szerinti gyermekjóléti szolgáltatási feladatokat, valamint a családsegítés Szt. 64. § (4) bekezdése szerinti feladatait.”</w:t>
      </w:r>
    </w:p>
    <w:p w:rsidR="006C2555" w:rsidRDefault="006C2555" w:rsidP="00CD093D">
      <w:pPr>
        <w:jc w:val="both"/>
      </w:pPr>
      <w:r>
        <w:t xml:space="preserve"> </w:t>
      </w:r>
    </w:p>
    <w:p w:rsidR="006C2555" w:rsidRDefault="006C2555" w:rsidP="006C0C72">
      <w:pPr>
        <w:jc w:val="both"/>
      </w:pPr>
      <w:r>
        <w:t>Az Önkormányzat a gyermekjóléti alapfeladatát, a gyermekjóléti szolgáltatást 2017. január 1. napjától a Zirc Városi Önkormányzat által alapított és fenntartott Zirci Önkormányzati Szolgáltató Központ</w:t>
      </w:r>
      <w:r w:rsidRPr="00F52158">
        <w:rPr>
          <w:bCs/>
        </w:rPr>
        <w:t xml:space="preserve"> </w:t>
      </w:r>
      <w:r w:rsidRPr="00D30A3F">
        <w:rPr>
          <w:bCs/>
        </w:rPr>
        <w:t>Család-és Gyermekjóléti Szolgálat</w:t>
      </w:r>
      <w:r>
        <w:rPr>
          <w:bCs/>
        </w:rPr>
        <w:t>án keresztül biztosítja</w:t>
      </w:r>
      <w:r>
        <w:t xml:space="preserve">. A Szolgálat tapasztalatait </w:t>
      </w:r>
      <w:r>
        <w:rPr>
          <w:b/>
          <w:i/>
          <w:iCs/>
        </w:rPr>
        <w:t>külön beszámoló tartalmazza.</w:t>
      </w:r>
    </w:p>
    <w:p w:rsidR="006C2555" w:rsidRDefault="006C2555" w:rsidP="006C0C72">
      <w:pPr>
        <w:jc w:val="both"/>
        <w:rPr>
          <w:b/>
          <w:sz w:val="28"/>
          <w:szCs w:val="28"/>
        </w:rPr>
      </w:pPr>
    </w:p>
    <w:p w:rsidR="006C2555" w:rsidRDefault="006C2555" w:rsidP="00CD093D">
      <w:pPr>
        <w:jc w:val="both"/>
      </w:pPr>
    </w:p>
    <w:p w:rsidR="006C2555" w:rsidRDefault="006C2555" w:rsidP="009137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</w:p>
    <w:p w:rsidR="006C2555" w:rsidRDefault="006C2555" w:rsidP="009137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Óvoda</w:t>
      </w:r>
    </w:p>
    <w:p w:rsidR="006C2555" w:rsidRDefault="006C2555" w:rsidP="009137B6">
      <w:pPr>
        <w:jc w:val="both"/>
        <w:rPr>
          <w:b/>
          <w:sz w:val="28"/>
          <w:szCs w:val="28"/>
          <w:u w:val="single"/>
        </w:rPr>
      </w:pPr>
    </w:p>
    <w:p w:rsidR="006C2555" w:rsidRDefault="006C2555" w:rsidP="009137B6">
      <w:pPr>
        <w:autoSpaceDE w:val="0"/>
        <w:autoSpaceDN w:val="0"/>
        <w:adjustRightInd w:val="0"/>
        <w:jc w:val="both"/>
      </w:pPr>
      <w:r>
        <w:t>Intézményben 1 fő gyermekvédelmi felelős működött, a tagintézményekben a tagintézmény-vezető látta el, ezt a feladatot. A gyermekvédelem koordinálását az intézményvezető, az óvodapedagógusok és kisgyermeknevelők segítségével gyakorolta a mindennapokban.</w:t>
      </w:r>
    </w:p>
    <w:p w:rsidR="006C2555" w:rsidRDefault="006C2555" w:rsidP="009137B6">
      <w:pPr>
        <w:autoSpaceDE w:val="0"/>
        <w:autoSpaceDN w:val="0"/>
        <w:adjustRightInd w:val="0"/>
        <w:jc w:val="both"/>
        <w:rPr>
          <w:lang w:eastAsia="hu-HU"/>
        </w:rPr>
      </w:pPr>
    </w:p>
    <w:p w:rsidR="006C2555" w:rsidRDefault="006C2555" w:rsidP="009137B6">
      <w:pPr>
        <w:pStyle w:val="Default"/>
        <w:jc w:val="both"/>
        <w:rPr>
          <w:color w:val="auto"/>
        </w:rPr>
      </w:pPr>
      <w:r>
        <w:rPr>
          <w:color w:val="auto"/>
        </w:rPr>
        <w:t>Tevékenységeik:</w:t>
      </w:r>
    </w:p>
    <w:p w:rsidR="006C2555" w:rsidRDefault="006C2555" w:rsidP="009137B6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rendszeres óvodába járás követése</w:t>
      </w:r>
    </w:p>
    <w:p w:rsidR="006C2555" w:rsidRDefault="006C2555" w:rsidP="009137B6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kapcsolattartás a családokkal</w:t>
      </w:r>
    </w:p>
    <w:p w:rsidR="006C2555" w:rsidRDefault="006C2555" w:rsidP="009137B6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kapcsolattartás a családsegítő szolgálattal</w:t>
      </w:r>
    </w:p>
    <w:p w:rsidR="006C2555" w:rsidRDefault="006C2555" w:rsidP="009137B6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kapcsolattartás az óvodai szociális segítővel.</w:t>
      </w:r>
    </w:p>
    <w:p w:rsidR="006C2555" w:rsidRDefault="006C2555" w:rsidP="009137B6">
      <w:pPr>
        <w:spacing w:before="240" w:after="120"/>
        <w:jc w:val="both"/>
      </w:pPr>
      <w:r>
        <w:t>Integráló intézményként évek óta foglalkozik sajátos nevelési igényű gyermekekkel, tudatosan fejlesztik a pedagógiai tevékenység feltételeit. A TOP- 1.4.1-15-VE1-2016-00021</w:t>
      </w:r>
      <w:r>
        <w:rPr>
          <w:sz w:val="28"/>
          <w:szCs w:val="28"/>
        </w:rPr>
        <w:t xml:space="preserve"> </w:t>
      </w:r>
      <w:r>
        <w:t>pályázat segítségével</w:t>
      </w:r>
      <w:r>
        <w:rPr>
          <w:sz w:val="28"/>
          <w:szCs w:val="28"/>
        </w:rPr>
        <w:t xml:space="preserve"> </w:t>
      </w:r>
      <w:r>
        <w:t>a következő fejlesztési célok valósultak meg:</w:t>
      </w:r>
    </w:p>
    <w:p w:rsidR="006C2555" w:rsidRDefault="006C2555" w:rsidP="009137B6">
      <w:pPr>
        <w:pStyle w:val="ListParagraph"/>
        <w:numPr>
          <w:ilvl w:val="0"/>
          <w:numId w:val="6"/>
        </w:numPr>
        <w:suppressAutoHyphens w:val="0"/>
        <w:spacing w:after="5"/>
        <w:jc w:val="both"/>
      </w:pPr>
      <w:r>
        <w:t xml:space="preserve">1 nevelői szoba </w:t>
      </w:r>
    </w:p>
    <w:p w:rsidR="006C2555" w:rsidRDefault="006C2555" w:rsidP="009137B6">
      <w:pPr>
        <w:pStyle w:val="ListParagraph"/>
        <w:numPr>
          <w:ilvl w:val="0"/>
          <w:numId w:val="6"/>
        </w:numPr>
        <w:suppressAutoHyphens w:val="0"/>
        <w:spacing w:after="5"/>
        <w:jc w:val="both"/>
      </w:pPr>
      <w:r>
        <w:t>1 tornaterem, öltöző, szertár</w:t>
      </w:r>
    </w:p>
    <w:p w:rsidR="006C2555" w:rsidRDefault="006C2555" w:rsidP="009137B6">
      <w:pPr>
        <w:pStyle w:val="ListParagraph"/>
        <w:numPr>
          <w:ilvl w:val="0"/>
          <w:numId w:val="6"/>
        </w:numPr>
        <w:suppressAutoHyphens w:val="0"/>
        <w:spacing w:after="5"/>
        <w:jc w:val="both"/>
      </w:pPr>
      <w:r>
        <w:t>1 fejlesztő szoba</w:t>
      </w:r>
    </w:p>
    <w:p w:rsidR="006C2555" w:rsidRDefault="006C2555" w:rsidP="009137B6">
      <w:pPr>
        <w:pStyle w:val="ListParagraph"/>
        <w:numPr>
          <w:ilvl w:val="0"/>
          <w:numId w:val="6"/>
        </w:numPr>
        <w:suppressAutoHyphens w:val="0"/>
        <w:spacing w:after="5"/>
        <w:jc w:val="both"/>
      </w:pPr>
      <w:r>
        <w:t>1 logopédiai, hittan szoba (kettős funkcióval)</w:t>
      </w:r>
    </w:p>
    <w:p w:rsidR="006C2555" w:rsidRDefault="006C2555" w:rsidP="009137B6">
      <w:pPr>
        <w:pStyle w:val="ListParagraph"/>
        <w:numPr>
          <w:ilvl w:val="0"/>
          <w:numId w:val="6"/>
        </w:numPr>
        <w:suppressAutoHyphens w:val="0"/>
        <w:jc w:val="both"/>
      </w:pPr>
      <w:r>
        <w:t>raktárhelyiségek korszerűsítése</w:t>
      </w:r>
    </w:p>
    <w:p w:rsidR="006C2555" w:rsidRDefault="006C2555" w:rsidP="009137B6">
      <w:pPr>
        <w:pStyle w:val="ListParagraph"/>
        <w:numPr>
          <w:ilvl w:val="0"/>
          <w:numId w:val="6"/>
        </w:numPr>
        <w:suppressAutoHyphens w:val="0"/>
        <w:ind w:right="440"/>
        <w:jc w:val="both"/>
      </w:pPr>
      <w:r>
        <w:t>mosoda átépítése</w:t>
      </w:r>
    </w:p>
    <w:p w:rsidR="006C2555" w:rsidRDefault="006C2555" w:rsidP="009137B6">
      <w:pPr>
        <w:pStyle w:val="ListParagraph"/>
        <w:numPr>
          <w:ilvl w:val="0"/>
          <w:numId w:val="6"/>
        </w:numPr>
        <w:suppressAutoHyphens w:val="0"/>
        <w:ind w:right="-1"/>
        <w:jc w:val="both"/>
      </w:pPr>
      <w:r>
        <w:t>melegítő konyha korszerűsítése a modern kor elvárásait is tükröző konyhai berendezés és eszközpark kialakításával</w:t>
      </w:r>
    </w:p>
    <w:p w:rsidR="006C2555" w:rsidRDefault="006C2555" w:rsidP="009137B6">
      <w:pPr>
        <w:pStyle w:val="ListParagraph"/>
        <w:numPr>
          <w:ilvl w:val="0"/>
          <w:numId w:val="6"/>
        </w:numPr>
        <w:suppressAutoHyphens w:val="0"/>
        <w:ind w:right="-1"/>
        <w:jc w:val="both"/>
      </w:pPr>
      <w:r>
        <w:t>udvarrész eszközállományának fejlesztése beépített játszótéri eszközökkel (az alsó udvarrész vonzóbbá tétele a játékeszközök bővítésével)</w:t>
      </w:r>
    </w:p>
    <w:p w:rsidR="006C2555" w:rsidRDefault="006C2555" w:rsidP="009137B6">
      <w:pPr>
        <w:pStyle w:val="ListParagraph"/>
        <w:numPr>
          <w:ilvl w:val="0"/>
          <w:numId w:val="6"/>
        </w:numPr>
        <w:suppressAutoHyphens w:val="0"/>
        <w:ind w:right="-1"/>
        <w:jc w:val="both"/>
      </w:pPr>
      <w:r>
        <w:t>külső parkoló férőhely bővítése és felújítása</w:t>
      </w:r>
    </w:p>
    <w:p w:rsidR="006C2555" w:rsidRDefault="006C2555" w:rsidP="009137B6">
      <w:pPr>
        <w:pStyle w:val="ListParagraph"/>
        <w:numPr>
          <w:ilvl w:val="0"/>
          <w:numId w:val="6"/>
        </w:numPr>
        <w:suppressAutoHyphens w:val="0"/>
        <w:ind w:right="-1"/>
        <w:jc w:val="both"/>
      </w:pPr>
      <w:r>
        <w:t>energetikai beruházás keretében az óvoda külső hőszigetelésére és napkollektorok és világítótestek beszerelésére nyílt lehetőség.</w:t>
      </w:r>
    </w:p>
    <w:p w:rsidR="006C2555" w:rsidRDefault="006C2555" w:rsidP="009137B6">
      <w:pPr>
        <w:ind w:right="-1"/>
        <w:jc w:val="both"/>
      </w:pPr>
    </w:p>
    <w:p w:rsidR="006C2555" w:rsidRDefault="006C2555" w:rsidP="009137B6">
      <w:pPr>
        <w:ind w:right="-1"/>
        <w:jc w:val="both"/>
      </w:pPr>
      <w:r>
        <w:t>A tárgyi fejlesztés nyomán a mozgás- és készségfejlesztő játékaink tárháza nagy változáson ment keresztül, ezek jól szolgálták pedagógiai célkitűzéseiket. A beruházások áttételesen a családok kényelmét szolgálták és egy magasabb komfortérzet megteremtésére adtak lehetőséget.</w:t>
      </w:r>
    </w:p>
    <w:p w:rsidR="006C2555" w:rsidRDefault="006C2555" w:rsidP="009137B6">
      <w:pPr>
        <w:jc w:val="both"/>
      </w:pPr>
    </w:p>
    <w:p w:rsidR="006C2555" w:rsidRDefault="006C2555" w:rsidP="009137B6">
      <w:pPr>
        <w:spacing w:after="120"/>
        <w:jc w:val="both"/>
      </w:pPr>
    </w:p>
    <w:p w:rsidR="006C2555" w:rsidRDefault="006C2555" w:rsidP="009137B6">
      <w:pPr>
        <w:spacing w:after="120"/>
        <w:jc w:val="both"/>
      </w:pPr>
      <w:r>
        <w:t xml:space="preserve">A székhely óvodába a 2018/2019-es nevelési évben 5 fő sajátos nevelési igényű gyermek járt, ellátásukat saját foglalkoztatású szakemberrel és külsős gyógypedagógusok, konduktor alkalmazásával oldották meg. Intézményben a logopédiai, fejlesztőpedagógiai ellátást a Veszprém Megyei Pedagógiai Szakszolgálat Zirci Tagintézménye látta el. </w:t>
      </w:r>
    </w:p>
    <w:p w:rsidR="006C2555" w:rsidRDefault="006C2555" w:rsidP="009137B6">
      <w:pPr>
        <w:pStyle w:val="ListParagraph"/>
        <w:numPr>
          <w:ilvl w:val="0"/>
          <w:numId w:val="7"/>
        </w:numPr>
        <w:suppressAutoHyphens w:val="0"/>
        <w:ind w:left="425" w:hanging="425"/>
        <w:jc w:val="both"/>
      </w:pPr>
      <w:r>
        <w:t>autizmus, nem meghatározott hiperkinetikus zavar (3 fő)</w:t>
      </w:r>
    </w:p>
    <w:p w:rsidR="006C2555" w:rsidRDefault="006C2555" w:rsidP="009137B6">
      <w:pPr>
        <w:pStyle w:val="ListParagraph"/>
        <w:numPr>
          <w:ilvl w:val="0"/>
          <w:numId w:val="7"/>
        </w:numPr>
        <w:suppressAutoHyphens w:val="0"/>
        <w:ind w:left="425" w:hanging="425"/>
        <w:jc w:val="both"/>
      </w:pPr>
      <w:r>
        <w:t>egyéb pervazív (átható) fejlődési zavar (3 fő)</w:t>
      </w:r>
    </w:p>
    <w:p w:rsidR="006C2555" w:rsidRDefault="006C2555" w:rsidP="009137B6">
      <w:pPr>
        <w:pStyle w:val="ListParagraph"/>
        <w:numPr>
          <w:ilvl w:val="0"/>
          <w:numId w:val="7"/>
        </w:numPr>
        <w:suppressAutoHyphens w:val="0"/>
        <w:ind w:left="425" w:hanging="425"/>
        <w:jc w:val="both"/>
      </w:pPr>
      <w:r>
        <w:t>beszédfogyatékos (ajak- és szájpadhasadék) (2 fő)</w:t>
      </w:r>
    </w:p>
    <w:p w:rsidR="006C2555" w:rsidRDefault="006C2555" w:rsidP="009137B6">
      <w:pPr>
        <w:pStyle w:val="ListParagraph"/>
        <w:numPr>
          <w:ilvl w:val="0"/>
          <w:numId w:val="7"/>
        </w:numPr>
        <w:suppressAutoHyphens w:val="0"/>
        <w:ind w:left="425" w:hanging="425"/>
        <w:jc w:val="both"/>
      </w:pPr>
      <w:r>
        <w:t>beszédfogyatékos (nem meghatározott zavara a beszéd és nyelv fejlődésének) (2 fő)</w:t>
      </w:r>
    </w:p>
    <w:p w:rsidR="006C2555" w:rsidRDefault="006C2555" w:rsidP="009137B6">
      <w:pPr>
        <w:pStyle w:val="ListParagraph"/>
        <w:numPr>
          <w:ilvl w:val="0"/>
          <w:numId w:val="7"/>
        </w:numPr>
        <w:suppressAutoHyphens w:val="0"/>
        <w:spacing w:after="240"/>
        <w:ind w:left="425" w:hanging="425"/>
        <w:jc w:val="both"/>
      </w:pPr>
      <w:r>
        <w:t>halmozott (mozgásszervi, értelmi) fogyatékos (3 fő)</w:t>
      </w:r>
    </w:p>
    <w:p w:rsidR="006C2555" w:rsidRDefault="006C2555" w:rsidP="009137B6">
      <w:pPr>
        <w:jc w:val="both"/>
        <w:rPr>
          <w:i/>
        </w:rPr>
      </w:pPr>
      <w:r>
        <w:rPr>
          <w:i/>
        </w:rPr>
        <w:t>Fejlesztő vagy gyógypedagógiai oktatásban részesülő gyermekek megoszlása 2019.08.31.</w:t>
      </w:r>
    </w:p>
    <w:p w:rsidR="006C2555" w:rsidRDefault="006C2555" w:rsidP="009137B6">
      <w:pPr>
        <w:jc w:val="both"/>
        <w:rPr>
          <w:i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851"/>
        <w:gridCol w:w="1417"/>
        <w:gridCol w:w="1276"/>
        <w:gridCol w:w="992"/>
        <w:gridCol w:w="803"/>
        <w:gridCol w:w="803"/>
        <w:gridCol w:w="804"/>
      </w:tblGrid>
      <w:tr w:rsidR="006C2555" w:rsidTr="009137B6">
        <w:trPr>
          <w:trHeight w:val="414"/>
        </w:trPr>
        <w:tc>
          <w:tcPr>
            <w:tcW w:w="2263" w:type="dxa"/>
            <w:vMerge w:val="restart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Óvodai csoportok Zirc</w:t>
            </w:r>
          </w:p>
        </w:tc>
        <w:tc>
          <w:tcPr>
            <w:tcW w:w="851" w:type="dxa"/>
            <w:vMerge w:val="restart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jel</w:t>
            </w:r>
          </w:p>
        </w:tc>
        <w:tc>
          <w:tcPr>
            <w:tcW w:w="2693" w:type="dxa"/>
            <w:gridSpan w:val="2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Pedagógiai Szakszolgálat ellátásai</w:t>
            </w:r>
          </w:p>
        </w:tc>
        <w:tc>
          <w:tcPr>
            <w:tcW w:w="992" w:type="dxa"/>
            <w:vMerge w:val="restart"/>
          </w:tcPr>
          <w:p w:rsidR="006C2555" w:rsidRDefault="006C2555">
            <w:pPr>
              <w:jc w:val="center"/>
              <w:rPr>
                <w:b/>
              </w:rPr>
            </w:pPr>
          </w:p>
          <w:p w:rsidR="006C2555" w:rsidRDefault="006C2555">
            <w:pPr>
              <w:jc w:val="center"/>
              <w:rPr>
                <w:b/>
              </w:rPr>
            </w:pPr>
          </w:p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BTMN</w:t>
            </w:r>
          </w:p>
        </w:tc>
        <w:tc>
          <w:tcPr>
            <w:tcW w:w="2410" w:type="dxa"/>
            <w:gridSpan w:val="3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SNI ellátás</w:t>
            </w:r>
          </w:p>
        </w:tc>
      </w:tr>
      <w:tr w:rsidR="006C2555" w:rsidTr="009137B6">
        <w:trPr>
          <w:trHeight w:val="414"/>
        </w:trPr>
        <w:tc>
          <w:tcPr>
            <w:tcW w:w="2263" w:type="dxa"/>
            <w:vMerge/>
            <w:vAlign w:val="center"/>
          </w:tcPr>
          <w:p w:rsidR="006C2555" w:rsidRDefault="006C2555">
            <w:pPr>
              <w:suppressAutoHyphens w:val="0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6C2555" w:rsidRDefault="006C2555">
            <w:pPr>
              <w:suppressAutoHyphens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logopédia</w:t>
            </w:r>
          </w:p>
        </w:tc>
        <w:tc>
          <w:tcPr>
            <w:tcW w:w="1276" w:type="dxa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fejlesztő pedagógia</w:t>
            </w:r>
          </w:p>
        </w:tc>
        <w:tc>
          <w:tcPr>
            <w:tcW w:w="992" w:type="dxa"/>
            <w:vMerge/>
            <w:vAlign w:val="center"/>
          </w:tcPr>
          <w:p w:rsidR="006C2555" w:rsidRDefault="006C2555">
            <w:pPr>
              <w:suppressAutoHyphens w:val="0"/>
              <w:rPr>
                <w:b/>
              </w:rPr>
            </w:pP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 xml:space="preserve">log. 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gyp.</w:t>
            </w:r>
          </w:p>
        </w:tc>
        <w:tc>
          <w:tcPr>
            <w:tcW w:w="804" w:type="dxa"/>
            <w:vAlign w:val="center"/>
          </w:tcPr>
          <w:p w:rsidR="006C2555" w:rsidRDefault="006C2555">
            <w:pPr>
              <w:jc w:val="center"/>
              <w:rPr>
                <w:b/>
                <w:color w:val="FFFFFF"/>
              </w:rPr>
            </w:pPr>
            <w:r>
              <w:rPr>
                <w:b/>
              </w:rPr>
              <w:t>kond.</w:t>
            </w:r>
          </w:p>
        </w:tc>
      </w:tr>
      <w:tr w:rsidR="006C2555" w:rsidTr="009137B6">
        <w:tc>
          <w:tcPr>
            <w:tcW w:w="2263" w:type="dxa"/>
            <w:vAlign w:val="center"/>
          </w:tcPr>
          <w:p w:rsidR="006C2555" w:rsidRDefault="006C255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GALAGONYA</w:t>
            </w:r>
          </w:p>
        </w:tc>
        <w:tc>
          <w:tcPr>
            <w:tcW w:w="851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F/1</w:t>
            </w:r>
          </w:p>
        </w:tc>
        <w:tc>
          <w:tcPr>
            <w:tcW w:w="1417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 xml:space="preserve">6 </w:t>
            </w:r>
          </w:p>
        </w:tc>
        <w:tc>
          <w:tcPr>
            <w:tcW w:w="1276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04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</w:tr>
      <w:tr w:rsidR="006C2555" w:rsidTr="009137B6">
        <w:tc>
          <w:tcPr>
            <w:tcW w:w="2263" w:type="dxa"/>
            <w:vAlign w:val="center"/>
          </w:tcPr>
          <w:p w:rsidR="006C2555" w:rsidRDefault="006C255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KAMILLA</w:t>
            </w:r>
          </w:p>
        </w:tc>
        <w:tc>
          <w:tcPr>
            <w:tcW w:w="851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F/2</w:t>
            </w:r>
          </w:p>
        </w:tc>
        <w:tc>
          <w:tcPr>
            <w:tcW w:w="1417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  <w:tc>
          <w:tcPr>
            <w:tcW w:w="804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</w:tr>
      <w:tr w:rsidR="006C2555" w:rsidTr="009137B6">
        <w:tc>
          <w:tcPr>
            <w:tcW w:w="2263" w:type="dxa"/>
            <w:vAlign w:val="center"/>
          </w:tcPr>
          <w:p w:rsidR="006C2555" w:rsidRDefault="006C255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BOGLÁRKA</w:t>
            </w:r>
          </w:p>
        </w:tc>
        <w:tc>
          <w:tcPr>
            <w:tcW w:w="851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F/3</w:t>
            </w:r>
          </w:p>
        </w:tc>
        <w:tc>
          <w:tcPr>
            <w:tcW w:w="1417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1</w:t>
            </w:r>
          </w:p>
        </w:tc>
        <w:tc>
          <w:tcPr>
            <w:tcW w:w="804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</w:tr>
      <w:tr w:rsidR="006C2555" w:rsidTr="009137B6">
        <w:tc>
          <w:tcPr>
            <w:tcW w:w="2263" w:type="dxa"/>
            <w:vAlign w:val="center"/>
          </w:tcPr>
          <w:p w:rsidR="006C2555" w:rsidRDefault="006C255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HÉTSZÍNVIRÁG</w:t>
            </w:r>
          </w:p>
        </w:tc>
        <w:tc>
          <w:tcPr>
            <w:tcW w:w="851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F/4</w:t>
            </w:r>
          </w:p>
        </w:tc>
        <w:tc>
          <w:tcPr>
            <w:tcW w:w="1417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  <w:tc>
          <w:tcPr>
            <w:tcW w:w="804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</w:tr>
      <w:tr w:rsidR="006C2555" w:rsidTr="009137B6">
        <w:tc>
          <w:tcPr>
            <w:tcW w:w="2263" w:type="dxa"/>
            <w:vAlign w:val="center"/>
          </w:tcPr>
          <w:p w:rsidR="006C2555" w:rsidRDefault="006C255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NAPRAFORGÓ</w:t>
            </w:r>
          </w:p>
        </w:tc>
        <w:tc>
          <w:tcPr>
            <w:tcW w:w="851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E/1</w:t>
            </w:r>
          </w:p>
        </w:tc>
        <w:tc>
          <w:tcPr>
            <w:tcW w:w="1417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6C2555" w:rsidRDefault="006C2555">
            <w:pPr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  <w:tc>
          <w:tcPr>
            <w:tcW w:w="804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</w:tr>
      <w:tr w:rsidR="006C2555" w:rsidTr="009137B6">
        <w:tc>
          <w:tcPr>
            <w:tcW w:w="2263" w:type="dxa"/>
            <w:vAlign w:val="center"/>
          </w:tcPr>
          <w:p w:rsidR="006C2555" w:rsidRDefault="006C255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HÓVIRÁG</w:t>
            </w:r>
          </w:p>
        </w:tc>
        <w:tc>
          <w:tcPr>
            <w:tcW w:w="851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E/2</w:t>
            </w:r>
          </w:p>
        </w:tc>
        <w:tc>
          <w:tcPr>
            <w:tcW w:w="1417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6C2555" w:rsidRDefault="006C2555">
            <w:pPr>
              <w:jc w:val="center"/>
            </w:pP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  <w:tc>
          <w:tcPr>
            <w:tcW w:w="804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</w:tr>
      <w:tr w:rsidR="006C2555" w:rsidTr="009137B6">
        <w:tc>
          <w:tcPr>
            <w:tcW w:w="2263" w:type="dxa"/>
            <w:vAlign w:val="center"/>
          </w:tcPr>
          <w:p w:rsidR="006C2555" w:rsidRDefault="006C255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HARANGVIRÁG</w:t>
            </w:r>
          </w:p>
        </w:tc>
        <w:tc>
          <w:tcPr>
            <w:tcW w:w="851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E/3</w:t>
            </w:r>
          </w:p>
        </w:tc>
        <w:tc>
          <w:tcPr>
            <w:tcW w:w="1417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C2555" w:rsidRDefault="006C2555">
            <w:pPr>
              <w:jc w:val="center"/>
            </w:pP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1</w:t>
            </w:r>
          </w:p>
        </w:tc>
        <w:tc>
          <w:tcPr>
            <w:tcW w:w="804" w:type="dxa"/>
            <w:vAlign w:val="center"/>
          </w:tcPr>
          <w:p w:rsidR="006C2555" w:rsidRDefault="006C2555">
            <w:pPr>
              <w:jc w:val="center"/>
            </w:pPr>
            <w:r>
              <w:t>1</w:t>
            </w:r>
          </w:p>
        </w:tc>
      </w:tr>
      <w:tr w:rsidR="006C2555" w:rsidTr="009137B6">
        <w:tc>
          <w:tcPr>
            <w:tcW w:w="2263" w:type="dxa"/>
            <w:vAlign w:val="center"/>
          </w:tcPr>
          <w:p w:rsidR="006C2555" w:rsidRDefault="006C255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BÓBITA</w:t>
            </w:r>
          </w:p>
        </w:tc>
        <w:tc>
          <w:tcPr>
            <w:tcW w:w="851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E/4</w:t>
            </w:r>
          </w:p>
        </w:tc>
        <w:tc>
          <w:tcPr>
            <w:tcW w:w="1417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6C2555" w:rsidRDefault="006C2555">
            <w:pPr>
              <w:jc w:val="center"/>
            </w:pP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  <w:tc>
          <w:tcPr>
            <w:tcW w:w="804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</w:tr>
      <w:tr w:rsidR="006C2555" w:rsidTr="009137B6">
        <w:tc>
          <w:tcPr>
            <w:tcW w:w="2263" w:type="dxa"/>
            <w:vAlign w:val="center"/>
          </w:tcPr>
          <w:p w:rsidR="006C2555" w:rsidRDefault="006C255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KANKALIN</w:t>
            </w:r>
          </w:p>
        </w:tc>
        <w:tc>
          <w:tcPr>
            <w:tcW w:w="851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T/1</w:t>
            </w:r>
          </w:p>
        </w:tc>
        <w:tc>
          <w:tcPr>
            <w:tcW w:w="1417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6C2555" w:rsidRDefault="006C2555">
            <w:pPr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1</w:t>
            </w:r>
          </w:p>
        </w:tc>
        <w:tc>
          <w:tcPr>
            <w:tcW w:w="804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</w:tr>
      <w:tr w:rsidR="006C2555" w:rsidTr="009137B6">
        <w:tc>
          <w:tcPr>
            <w:tcW w:w="2263" w:type="dxa"/>
            <w:vAlign w:val="center"/>
          </w:tcPr>
          <w:p w:rsidR="006C2555" w:rsidRDefault="006C255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TŐZIKE</w:t>
            </w:r>
          </w:p>
        </w:tc>
        <w:tc>
          <w:tcPr>
            <w:tcW w:w="851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T/2</w:t>
            </w:r>
          </w:p>
        </w:tc>
        <w:tc>
          <w:tcPr>
            <w:tcW w:w="1417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6C2555" w:rsidRDefault="006C2555">
            <w:pPr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1</w:t>
            </w:r>
          </w:p>
        </w:tc>
        <w:tc>
          <w:tcPr>
            <w:tcW w:w="804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</w:tr>
      <w:tr w:rsidR="006C2555" w:rsidTr="009137B6">
        <w:trPr>
          <w:trHeight w:val="227"/>
        </w:trPr>
        <w:tc>
          <w:tcPr>
            <w:tcW w:w="2263" w:type="dxa"/>
            <w:vAlign w:val="center"/>
          </w:tcPr>
          <w:p w:rsidR="006C2555" w:rsidRDefault="006C255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51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992" w:type="dxa"/>
            <w:vAlign w:val="center"/>
          </w:tcPr>
          <w:p w:rsidR="006C2555" w:rsidRDefault="006C2555">
            <w:pPr>
              <w:jc w:val="center"/>
            </w:pPr>
            <w:r>
              <w:t>4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5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</w:pPr>
            <w:r>
              <w:t>5</w:t>
            </w:r>
          </w:p>
        </w:tc>
        <w:tc>
          <w:tcPr>
            <w:tcW w:w="804" w:type="dxa"/>
            <w:vAlign w:val="center"/>
          </w:tcPr>
          <w:p w:rsidR="006C2555" w:rsidRDefault="006C2555">
            <w:pPr>
              <w:jc w:val="center"/>
            </w:pPr>
            <w:r>
              <w:t>1</w:t>
            </w:r>
          </w:p>
        </w:tc>
      </w:tr>
    </w:tbl>
    <w:p w:rsidR="006C2555" w:rsidRDefault="006C2555" w:rsidP="009E5299">
      <w:pPr>
        <w:spacing w:after="120" w:line="360" w:lineRule="auto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851"/>
        <w:gridCol w:w="1417"/>
        <w:gridCol w:w="1276"/>
        <w:gridCol w:w="992"/>
        <w:gridCol w:w="803"/>
        <w:gridCol w:w="803"/>
        <w:gridCol w:w="804"/>
      </w:tblGrid>
      <w:tr w:rsidR="006C2555" w:rsidTr="009137B6">
        <w:trPr>
          <w:trHeight w:val="414"/>
        </w:trPr>
        <w:tc>
          <w:tcPr>
            <w:tcW w:w="2263" w:type="dxa"/>
            <w:vMerge w:val="restart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 xml:space="preserve">Óvodai csoportok </w:t>
            </w:r>
          </w:p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Lókút</w:t>
            </w:r>
          </w:p>
        </w:tc>
        <w:tc>
          <w:tcPr>
            <w:tcW w:w="851" w:type="dxa"/>
            <w:vMerge w:val="restart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jel</w:t>
            </w:r>
          </w:p>
        </w:tc>
        <w:tc>
          <w:tcPr>
            <w:tcW w:w="2693" w:type="dxa"/>
            <w:gridSpan w:val="2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Pedagógiai Szakszolgálat ellátásai</w:t>
            </w:r>
          </w:p>
        </w:tc>
        <w:tc>
          <w:tcPr>
            <w:tcW w:w="992" w:type="dxa"/>
            <w:vMerge w:val="restart"/>
          </w:tcPr>
          <w:p w:rsidR="006C2555" w:rsidRDefault="006C2555">
            <w:pPr>
              <w:jc w:val="center"/>
              <w:rPr>
                <w:b/>
              </w:rPr>
            </w:pPr>
          </w:p>
          <w:p w:rsidR="006C2555" w:rsidRDefault="006C2555">
            <w:pPr>
              <w:jc w:val="center"/>
              <w:rPr>
                <w:b/>
              </w:rPr>
            </w:pPr>
          </w:p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BTMN</w:t>
            </w:r>
          </w:p>
        </w:tc>
        <w:tc>
          <w:tcPr>
            <w:tcW w:w="2410" w:type="dxa"/>
            <w:gridSpan w:val="3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SNI ellátás</w:t>
            </w:r>
          </w:p>
        </w:tc>
      </w:tr>
      <w:tr w:rsidR="006C2555" w:rsidTr="009137B6">
        <w:trPr>
          <w:trHeight w:val="414"/>
        </w:trPr>
        <w:tc>
          <w:tcPr>
            <w:tcW w:w="2263" w:type="dxa"/>
            <w:vMerge/>
            <w:vAlign w:val="center"/>
          </w:tcPr>
          <w:p w:rsidR="006C2555" w:rsidRDefault="006C2555">
            <w:pPr>
              <w:suppressAutoHyphens w:val="0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6C2555" w:rsidRDefault="006C2555">
            <w:pPr>
              <w:suppressAutoHyphens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logopédia</w:t>
            </w:r>
          </w:p>
        </w:tc>
        <w:tc>
          <w:tcPr>
            <w:tcW w:w="1276" w:type="dxa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fejlesztő pedagógia</w:t>
            </w:r>
          </w:p>
        </w:tc>
        <w:tc>
          <w:tcPr>
            <w:tcW w:w="992" w:type="dxa"/>
            <w:vMerge/>
            <w:vAlign w:val="center"/>
          </w:tcPr>
          <w:p w:rsidR="006C2555" w:rsidRDefault="006C2555">
            <w:pPr>
              <w:suppressAutoHyphens w:val="0"/>
              <w:rPr>
                <w:b/>
              </w:rPr>
            </w:pP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 xml:space="preserve">log. 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gyp.</w:t>
            </w:r>
          </w:p>
        </w:tc>
        <w:tc>
          <w:tcPr>
            <w:tcW w:w="804" w:type="dxa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kond.</w:t>
            </w:r>
          </w:p>
        </w:tc>
      </w:tr>
      <w:tr w:rsidR="006C2555" w:rsidTr="009137B6">
        <w:tc>
          <w:tcPr>
            <w:tcW w:w="2263" w:type="dxa"/>
            <w:vAlign w:val="center"/>
          </w:tcPr>
          <w:p w:rsidR="006C2555" w:rsidRPr="00297C2D" w:rsidRDefault="006C2555">
            <w:pPr>
              <w:spacing w:before="100" w:beforeAutospacing="1" w:after="100" w:afterAutospacing="1"/>
              <w:rPr>
                <w:b/>
              </w:rPr>
            </w:pPr>
            <w:r w:rsidRPr="00297C2D">
              <w:rPr>
                <w:b/>
              </w:rPr>
              <w:t>TÜNDÉRKERT</w:t>
            </w:r>
          </w:p>
        </w:tc>
        <w:tc>
          <w:tcPr>
            <w:tcW w:w="851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04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</w:tr>
    </w:tbl>
    <w:p w:rsidR="006C2555" w:rsidRDefault="006C2555" w:rsidP="009137B6">
      <w:pPr>
        <w:spacing w:line="360" w:lineRule="auto"/>
        <w:jc w:val="both"/>
        <w:rPr>
          <w:bCs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851"/>
        <w:gridCol w:w="1417"/>
        <w:gridCol w:w="1276"/>
        <w:gridCol w:w="992"/>
        <w:gridCol w:w="803"/>
        <w:gridCol w:w="803"/>
        <w:gridCol w:w="804"/>
      </w:tblGrid>
      <w:tr w:rsidR="006C2555" w:rsidTr="009137B6">
        <w:trPr>
          <w:trHeight w:val="414"/>
        </w:trPr>
        <w:tc>
          <w:tcPr>
            <w:tcW w:w="2263" w:type="dxa"/>
            <w:vMerge w:val="restart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 xml:space="preserve">Óvodai csoport </w:t>
            </w:r>
          </w:p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Borzavár</w:t>
            </w:r>
          </w:p>
        </w:tc>
        <w:tc>
          <w:tcPr>
            <w:tcW w:w="851" w:type="dxa"/>
            <w:vMerge w:val="restart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jel</w:t>
            </w:r>
          </w:p>
        </w:tc>
        <w:tc>
          <w:tcPr>
            <w:tcW w:w="2693" w:type="dxa"/>
            <w:gridSpan w:val="2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Pedagógiai Szakszolgálat ellátásai</w:t>
            </w:r>
          </w:p>
        </w:tc>
        <w:tc>
          <w:tcPr>
            <w:tcW w:w="992" w:type="dxa"/>
            <w:vMerge w:val="restart"/>
          </w:tcPr>
          <w:p w:rsidR="006C2555" w:rsidRDefault="006C2555">
            <w:pPr>
              <w:jc w:val="center"/>
              <w:rPr>
                <w:b/>
              </w:rPr>
            </w:pPr>
          </w:p>
          <w:p w:rsidR="006C2555" w:rsidRDefault="006C2555">
            <w:pPr>
              <w:jc w:val="center"/>
              <w:rPr>
                <w:b/>
              </w:rPr>
            </w:pPr>
          </w:p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BTMN</w:t>
            </w:r>
          </w:p>
        </w:tc>
        <w:tc>
          <w:tcPr>
            <w:tcW w:w="2410" w:type="dxa"/>
            <w:gridSpan w:val="3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SNI ellátás</w:t>
            </w:r>
          </w:p>
        </w:tc>
      </w:tr>
      <w:tr w:rsidR="006C2555" w:rsidTr="009137B6">
        <w:trPr>
          <w:trHeight w:val="414"/>
        </w:trPr>
        <w:tc>
          <w:tcPr>
            <w:tcW w:w="2263" w:type="dxa"/>
            <w:vMerge/>
            <w:vAlign w:val="center"/>
          </w:tcPr>
          <w:p w:rsidR="006C2555" w:rsidRDefault="006C2555">
            <w:pPr>
              <w:suppressAutoHyphens w:val="0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6C2555" w:rsidRDefault="006C2555">
            <w:pPr>
              <w:suppressAutoHyphens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logopédia</w:t>
            </w:r>
          </w:p>
        </w:tc>
        <w:tc>
          <w:tcPr>
            <w:tcW w:w="1276" w:type="dxa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fejlesztő pedagógia</w:t>
            </w:r>
          </w:p>
        </w:tc>
        <w:tc>
          <w:tcPr>
            <w:tcW w:w="992" w:type="dxa"/>
            <w:vMerge/>
            <w:vAlign w:val="center"/>
          </w:tcPr>
          <w:p w:rsidR="006C2555" w:rsidRDefault="006C2555">
            <w:pPr>
              <w:suppressAutoHyphens w:val="0"/>
              <w:rPr>
                <w:b/>
              </w:rPr>
            </w:pP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 xml:space="preserve">log. 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gyp.</w:t>
            </w:r>
          </w:p>
        </w:tc>
        <w:tc>
          <w:tcPr>
            <w:tcW w:w="804" w:type="dxa"/>
            <w:vAlign w:val="center"/>
          </w:tcPr>
          <w:p w:rsidR="006C2555" w:rsidRDefault="006C2555">
            <w:pPr>
              <w:jc w:val="center"/>
              <w:rPr>
                <w:b/>
              </w:rPr>
            </w:pPr>
            <w:r>
              <w:rPr>
                <w:b/>
              </w:rPr>
              <w:t>kond.</w:t>
            </w:r>
          </w:p>
        </w:tc>
      </w:tr>
      <w:tr w:rsidR="006C2555" w:rsidTr="009137B6">
        <w:tc>
          <w:tcPr>
            <w:tcW w:w="2263" w:type="dxa"/>
            <w:vAlign w:val="center"/>
          </w:tcPr>
          <w:p w:rsidR="006C2555" w:rsidRPr="00297C2D" w:rsidRDefault="006C2555">
            <w:pPr>
              <w:spacing w:before="100" w:beforeAutospacing="1" w:after="100" w:afterAutospacing="1"/>
              <w:rPr>
                <w:b/>
              </w:rPr>
            </w:pPr>
            <w:r w:rsidRPr="00297C2D">
              <w:rPr>
                <w:b/>
              </w:rPr>
              <w:t>MANÓKERT</w:t>
            </w:r>
          </w:p>
        </w:tc>
        <w:tc>
          <w:tcPr>
            <w:tcW w:w="851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03" w:type="dxa"/>
            <w:vAlign w:val="center"/>
          </w:tcPr>
          <w:p w:rsidR="006C2555" w:rsidRDefault="006C255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04" w:type="dxa"/>
            <w:vAlign w:val="center"/>
          </w:tcPr>
          <w:p w:rsidR="006C2555" w:rsidRDefault="006C2555">
            <w:pPr>
              <w:jc w:val="center"/>
            </w:pPr>
            <w:r>
              <w:t>-</w:t>
            </w:r>
          </w:p>
        </w:tc>
      </w:tr>
    </w:tbl>
    <w:p w:rsidR="006C2555" w:rsidRDefault="006C2555" w:rsidP="009137B6">
      <w:pPr>
        <w:spacing w:line="360" w:lineRule="auto"/>
        <w:jc w:val="both"/>
        <w:rPr>
          <w:bCs/>
        </w:rPr>
      </w:pPr>
    </w:p>
    <w:p w:rsidR="006C2555" w:rsidRDefault="006C2555" w:rsidP="009137B6">
      <w:pPr>
        <w:jc w:val="both"/>
        <w:rPr>
          <w:bCs/>
        </w:rPr>
      </w:pPr>
      <w:r>
        <w:rPr>
          <w:bCs/>
        </w:rPr>
        <w:t>Két atipikus fejlődésmenetű gyermek kapcsolódott be pszichológiai terápiába, ellátásukat a Zirci Pedagógiai Szakszolgálat szakembere végezte.</w:t>
      </w:r>
    </w:p>
    <w:p w:rsidR="006C2555" w:rsidRDefault="006C2555" w:rsidP="009137B6">
      <w:pPr>
        <w:jc w:val="both"/>
        <w:rPr>
          <w:bCs/>
        </w:rPr>
      </w:pPr>
    </w:p>
    <w:p w:rsidR="006C2555" w:rsidRDefault="006C2555" w:rsidP="009137B6">
      <w:pPr>
        <w:jc w:val="both"/>
      </w:pPr>
      <w:r>
        <w:t>Az Intézményben 3 gyermek jogosult rendszeres gyermekvédelmi kedvezményre. A hátrányos helyzet veszélyeztetettség elsősorban anyagi, szociális problémákból, munkanélküliségből, a családi szerkezet felbomlásából adódott. Óvodában fokozatosan figyelemmel kísérik a hátrányos helyzetű gyermekek szociális problémáit, gyermekvédelmi felelősünk rendszeres kapcsolatot tartott a család- és gyermekvédelmi szervezetekkel, a védőnővel, gyermekorvossal. Több gyermeknek is volt családgondozója, aki figyelemmel kísérte a család életét, életvezetési tanácsokkal látta el őket, szükség esetén kezdeményezte a védelembe vételt. A velük való együttműködés rendszeres, jelzőrendszeri formában történt.</w:t>
      </w:r>
    </w:p>
    <w:p w:rsidR="006C2555" w:rsidRPr="009E5299" w:rsidRDefault="006C2555" w:rsidP="009E5299">
      <w:pPr>
        <w:jc w:val="both"/>
        <w:rPr>
          <w:i/>
        </w:rPr>
      </w:pPr>
      <w:r>
        <w:rPr>
          <w:i/>
        </w:rPr>
        <w:t>Étkezési kedvezményben részesülők megoszlása jogosultság szerint – 2019. december 31-i állapot szerint: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382"/>
      </w:tblGrid>
      <w:tr w:rsidR="006C2555" w:rsidTr="00BC53CE">
        <w:trPr>
          <w:trHeight w:val="397"/>
          <w:jc w:val="center"/>
        </w:trPr>
        <w:tc>
          <w:tcPr>
            <w:tcW w:w="3402" w:type="dxa"/>
            <w:vAlign w:val="center"/>
          </w:tcPr>
          <w:p w:rsidR="006C2555" w:rsidRDefault="006C255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Étkezési kedvezmény</w:t>
            </w:r>
          </w:p>
        </w:tc>
        <w:tc>
          <w:tcPr>
            <w:tcW w:w="1382" w:type="dxa"/>
            <w:vAlign w:val="center"/>
          </w:tcPr>
          <w:p w:rsidR="006C2555" w:rsidRDefault="006C255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2019.</w:t>
            </w:r>
          </w:p>
          <w:p w:rsidR="006C2555" w:rsidRDefault="006C255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(főben)</w:t>
            </w:r>
          </w:p>
        </w:tc>
      </w:tr>
      <w:tr w:rsidR="006C2555" w:rsidTr="00BC53CE">
        <w:trPr>
          <w:jc w:val="center"/>
        </w:trPr>
        <w:tc>
          <w:tcPr>
            <w:tcW w:w="3402" w:type="dxa"/>
          </w:tcPr>
          <w:p w:rsidR="006C2555" w:rsidRDefault="006C25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Rendszeres gyermekvédelmi kedvezményben részesül</w:t>
            </w:r>
          </w:p>
        </w:tc>
        <w:tc>
          <w:tcPr>
            <w:tcW w:w="1382" w:type="dxa"/>
            <w:vAlign w:val="center"/>
          </w:tcPr>
          <w:p w:rsidR="006C2555" w:rsidRDefault="006C25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C2555" w:rsidTr="00BC53CE">
        <w:trPr>
          <w:jc w:val="center"/>
        </w:trPr>
        <w:tc>
          <w:tcPr>
            <w:tcW w:w="3402" w:type="dxa"/>
          </w:tcPr>
          <w:p w:rsidR="006C2555" w:rsidRDefault="006C25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Tartósan beteg vagy fogyatékos</w:t>
            </w:r>
          </w:p>
        </w:tc>
        <w:tc>
          <w:tcPr>
            <w:tcW w:w="1382" w:type="dxa"/>
            <w:vAlign w:val="center"/>
          </w:tcPr>
          <w:p w:rsidR="006C2555" w:rsidRDefault="006C25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6C2555" w:rsidTr="00BC53CE">
        <w:trPr>
          <w:jc w:val="center"/>
        </w:trPr>
        <w:tc>
          <w:tcPr>
            <w:tcW w:w="3402" w:type="dxa"/>
          </w:tcPr>
          <w:p w:rsidR="006C2555" w:rsidRDefault="006C25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Családjában tartósan beteg vagy fogyatékos gyermeket nevelnek</w:t>
            </w:r>
          </w:p>
        </w:tc>
        <w:tc>
          <w:tcPr>
            <w:tcW w:w="1382" w:type="dxa"/>
            <w:vAlign w:val="center"/>
          </w:tcPr>
          <w:p w:rsidR="006C2555" w:rsidRDefault="006C25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6C2555" w:rsidTr="00BC53CE">
        <w:trPr>
          <w:jc w:val="center"/>
        </w:trPr>
        <w:tc>
          <w:tcPr>
            <w:tcW w:w="3402" w:type="dxa"/>
          </w:tcPr>
          <w:p w:rsidR="006C2555" w:rsidRDefault="006C25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Családjában három vagy több gyermeket nevelnek</w:t>
            </w:r>
          </w:p>
        </w:tc>
        <w:tc>
          <w:tcPr>
            <w:tcW w:w="1382" w:type="dxa"/>
            <w:vAlign w:val="center"/>
          </w:tcPr>
          <w:p w:rsidR="006C2555" w:rsidRDefault="006C25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 w:rsidR="006C2555" w:rsidTr="00BC53CE">
        <w:trPr>
          <w:jc w:val="center"/>
        </w:trPr>
        <w:tc>
          <w:tcPr>
            <w:tcW w:w="3402" w:type="dxa"/>
          </w:tcPr>
          <w:p w:rsidR="006C2555" w:rsidRDefault="006C25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Nevelésbe vételét rendelte el a gyámhatóság</w:t>
            </w:r>
          </w:p>
        </w:tc>
        <w:tc>
          <w:tcPr>
            <w:tcW w:w="1382" w:type="dxa"/>
            <w:vAlign w:val="center"/>
          </w:tcPr>
          <w:p w:rsidR="006C2555" w:rsidRDefault="006C25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C2555" w:rsidTr="00BC53CE">
        <w:trPr>
          <w:jc w:val="center"/>
        </w:trPr>
        <w:tc>
          <w:tcPr>
            <w:tcW w:w="3402" w:type="dxa"/>
          </w:tcPr>
          <w:p w:rsidR="006C2555" w:rsidRDefault="006C25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Családjában az egy főre jutó jövedelem alapján</w:t>
            </w:r>
          </w:p>
        </w:tc>
        <w:tc>
          <w:tcPr>
            <w:tcW w:w="1382" w:type="dxa"/>
            <w:vAlign w:val="center"/>
          </w:tcPr>
          <w:p w:rsidR="006C2555" w:rsidRDefault="006C25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</w:tr>
    </w:tbl>
    <w:p w:rsidR="006C2555" w:rsidRDefault="006C2555" w:rsidP="009137B6">
      <w:pPr>
        <w:jc w:val="both"/>
      </w:pPr>
    </w:p>
    <w:p w:rsidR="006C2555" w:rsidRPr="007E5DDC" w:rsidRDefault="006C2555" w:rsidP="00CD093D">
      <w:pPr>
        <w:jc w:val="both"/>
        <w:rPr>
          <w:b/>
          <w:sz w:val="28"/>
          <w:szCs w:val="28"/>
        </w:rPr>
      </w:pPr>
    </w:p>
    <w:p w:rsidR="006C2555" w:rsidRPr="007E5DDC" w:rsidRDefault="006C2555" w:rsidP="00CD093D">
      <w:pPr>
        <w:jc w:val="both"/>
        <w:rPr>
          <w:sz w:val="28"/>
          <w:szCs w:val="28"/>
          <w:u w:val="single"/>
        </w:rPr>
      </w:pPr>
      <w:r w:rsidRPr="007E5DDC">
        <w:rPr>
          <w:b/>
          <w:sz w:val="28"/>
          <w:szCs w:val="28"/>
          <w:u w:val="single"/>
        </w:rPr>
        <w:t>Általános iskola</w:t>
      </w:r>
    </w:p>
    <w:p w:rsidR="006C2555" w:rsidRDefault="006C2555" w:rsidP="00CD093D">
      <w:pPr>
        <w:widowControl w:val="0"/>
        <w:autoSpaceDE w:val="0"/>
        <w:jc w:val="both"/>
      </w:pPr>
    </w:p>
    <w:p w:rsidR="006C2555" w:rsidRPr="00D6083D" w:rsidRDefault="006C2555" w:rsidP="00CD093D">
      <w:pPr>
        <w:widowControl w:val="0"/>
        <w:autoSpaceDE w:val="0"/>
        <w:jc w:val="both"/>
      </w:pPr>
      <w:r w:rsidRPr="00D6083D">
        <w:t xml:space="preserve">A </w:t>
      </w:r>
      <w:r>
        <w:t>Borzavári</w:t>
      </w:r>
      <w:r w:rsidRPr="00D6083D">
        <w:t xml:space="preserve"> Német Nemzetiségi Nyelvoktató Általános Iskolában a napközi és a tanulószobai foglalkozás az étkeztetésen és a tanuláson kívül a jeles napokra, versenyekre való felkészülésben is segítséget nyújt. A tanulócsoportokban mindig a házi feladat elkészítése, segítségadás az elsődleges, azon kívül felügyeletet biztosít a gyermekek számára. Közösségformáló erőt növel.</w:t>
      </w:r>
    </w:p>
    <w:p w:rsidR="006C2555" w:rsidRPr="00BB6D30" w:rsidRDefault="006C2555" w:rsidP="00D6083D">
      <w:pPr>
        <w:widowControl w:val="0"/>
        <w:autoSpaceDE w:val="0"/>
        <w:jc w:val="both"/>
        <w:rPr>
          <w:i/>
        </w:rPr>
      </w:pPr>
      <w:r w:rsidRPr="00D6083D">
        <w:t>Az alsóban a napközi a felügyelet igénye mellett a gyerekek tanulási módszereit segíti, míg a tanulószoba leginkább a felzárkóztatást.  2013. sze</w:t>
      </w:r>
      <w:r>
        <w:t xml:space="preserve">ptember 1. napjától jogszabályváltozás folytán </w:t>
      </w:r>
      <w:r w:rsidRPr="00D6083D">
        <w:t>bevezetésre került az egész napos benntartózkodás lehetősége, ez azoknak, akik igényelték már korábban is rendelkezésére állt. Az iskola az első és az utolsó tanítási nap közötti időszakban a tanítás nélküli munkanapokon, igény esetén biztosítja a napközbeni felügyeletet a tanulók számára.</w:t>
      </w:r>
      <w:r>
        <w:t xml:space="preserve"> </w:t>
      </w:r>
    </w:p>
    <w:p w:rsidR="006C2555" w:rsidRPr="00BB6D30" w:rsidRDefault="006C2555" w:rsidP="00CD093D">
      <w:pPr>
        <w:widowControl w:val="0"/>
        <w:autoSpaceDE w:val="0"/>
        <w:jc w:val="both"/>
        <w:rPr>
          <w:i/>
          <w:color w:val="FF0000"/>
        </w:rPr>
      </w:pPr>
    </w:p>
    <w:p w:rsidR="006C2555" w:rsidRDefault="006C2555" w:rsidP="00CD093D">
      <w:pPr>
        <w:widowControl w:val="0"/>
        <w:autoSpaceDE w:val="0"/>
        <w:jc w:val="both"/>
        <w:rPr>
          <w:color w:val="FF0000"/>
        </w:rPr>
      </w:pPr>
    </w:p>
    <w:p w:rsidR="006C2555" w:rsidRPr="00BB6D30" w:rsidRDefault="006C2555" w:rsidP="00CD093D">
      <w:pPr>
        <w:widowControl w:val="0"/>
        <w:autoSpaceDE w:val="0"/>
        <w:jc w:val="both"/>
        <w:rPr>
          <w:b/>
          <w:bCs/>
          <w:sz w:val="28"/>
          <w:szCs w:val="28"/>
        </w:rPr>
      </w:pPr>
      <w:r w:rsidRPr="00BB6D30">
        <w:rPr>
          <w:b/>
          <w:bCs/>
          <w:sz w:val="28"/>
          <w:szCs w:val="28"/>
        </w:rPr>
        <w:t xml:space="preserve">V. </w:t>
      </w:r>
    </w:p>
    <w:p w:rsidR="006C2555" w:rsidRPr="00BB6D30" w:rsidRDefault="006C2555" w:rsidP="00CD093D">
      <w:pPr>
        <w:widowControl w:val="0"/>
        <w:autoSpaceDE w:val="0"/>
        <w:jc w:val="both"/>
        <w:rPr>
          <w:sz w:val="28"/>
          <w:szCs w:val="28"/>
        </w:rPr>
      </w:pPr>
      <w:r w:rsidRPr="00BB6D30">
        <w:rPr>
          <w:b/>
          <w:bCs/>
          <w:sz w:val="28"/>
          <w:szCs w:val="28"/>
          <w:u w:val="single"/>
        </w:rPr>
        <w:t xml:space="preserve">Felügyeleti szervek által végzett ellenőrzések tapasztalatai: </w:t>
      </w:r>
      <w:r w:rsidRPr="00BB6D30">
        <w:rPr>
          <w:b/>
          <w:bCs/>
          <w:sz w:val="28"/>
          <w:szCs w:val="28"/>
        </w:rPr>
        <w:tab/>
      </w:r>
      <w:r w:rsidRPr="00BB6D30">
        <w:rPr>
          <w:b/>
          <w:bCs/>
          <w:sz w:val="28"/>
          <w:szCs w:val="28"/>
        </w:rPr>
        <w:tab/>
      </w:r>
      <w:r w:rsidRPr="00BB6D30">
        <w:rPr>
          <w:b/>
          <w:bCs/>
          <w:sz w:val="28"/>
          <w:szCs w:val="28"/>
        </w:rPr>
        <w:tab/>
      </w:r>
      <w:r w:rsidRPr="00BB6D30">
        <w:rPr>
          <w:sz w:val="28"/>
          <w:szCs w:val="28"/>
        </w:rPr>
        <w:tab/>
      </w:r>
    </w:p>
    <w:p w:rsidR="006C2555" w:rsidRDefault="006C2555" w:rsidP="00BC53CE">
      <w:pPr>
        <w:widowControl w:val="0"/>
        <w:autoSpaceDE w:val="0"/>
        <w:jc w:val="both"/>
      </w:pPr>
      <w:r>
        <w:rPr>
          <w:bCs/>
        </w:rPr>
        <w:t>2019. évben a jegyző</w:t>
      </w:r>
      <w:bookmarkStart w:id="0" w:name="_GoBack"/>
      <w:bookmarkEnd w:id="0"/>
      <w:r>
        <w:rPr>
          <w:bCs/>
        </w:rPr>
        <w:t xml:space="preserve"> gyámhatósági tevékenységének ellenőrzésére nem került sor. </w:t>
      </w:r>
    </w:p>
    <w:p w:rsidR="006C2555" w:rsidRDefault="006C2555" w:rsidP="00CD093D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6C2555" w:rsidRDefault="006C2555" w:rsidP="00CD093D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6C2555" w:rsidRPr="00BB6D30" w:rsidRDefault="006C2555" w:rsidP="00CD093D">
      <w:pPr>
        <w:widowControl w:val="0"/>
        <w:autoSpaceDE w:val="0"/>
        <w:jc w:val="both"/>
        <w:rPr>
          <w:sz w:val="28"/>
          <w:szCs w:val="28"/>
        </w:rPr>
      </w:pPr>
      <w:r w:rsidRPr="00BB6D30">
        <w:rPr>
          <w:b/>
          <w:bCs/>
          <w:sz w:val="28"/>
          <w:szCs w:val="28"/>
        </w:rPr>
        <w:t>VI</w:t>
      </w:r>
      <w:r w:rsidRPr="00BB6D30">
        <w:rPr>
          <w:sz w:val="28"/>
          <w:szCs w:val="28"/>
        </w:rPr>
        <w:t>.</w:t>
      </w:r>
    </w:p>
    <w:p w:rsidR="006C2555" w:rsidRPr="00BB6D30" w:rsidRDefault="006C2555" w:rsidP="00CD093D">
      <w:pPr>
        <w:widowControl w:val="0"/>
        <w:autoSpaceDE w:val="0"/>
        <w:jc w:val="both"/>
        <w:rPr>
          <w:b/>
          <w:bCs/>
          <w:sz w:val="28"/>
          <w:szCs w:val="28"/>
          <w:u w:val="single"/>
        </w:rPr>
      </w:pPr>
      <w:r w:rsidRPr="00BB6D30">
        <w:rPr>
          <w:b/>
          <w:bCs/>
          <w:sz w:val="28"/>
          <w:szCs w:val="28"/>
          <w:u w:val="single"/>
        </w:rPr>
        <w:t>Jövőre vonatkozó javaslatok, célok meghatározása</w:t>
      </w:r>
    </w:p>
    <w:p w:rsidR="006C2555" w:rsidRDefault="006C2555" w:rsidP="00CD093D">
      <w:pPr>
        <w:widowControl w:val="0"/>
        <w:autoSpaceDE w:val="0"/>
        <w:jc w:val="both"/>
        <w:rPr>
          <w:color w:val="FF0000"/>
        </w:rPr>
      </w:pPr>
    </w:p>
    <w:p w:rsidR="006C2555" w:rsidRPr="00985BF2" w:rsidRDefault="006C2555" w:rsidP="00CD093D">
      <w:pPr>
        <w:widowControl w:val="0"/>
        <w:autoSpaceDE w:val="0"/>
        <w:jc w:val="both"/>
        <w:rPr>
          <w:bCs/>
        </w:rPr>
      </w:pPr>
      <w:r>
        <w:rPr>
          <w:bCs/>
        </w:rPr>
        <w:t>Borzavár község területén a jövőben nagyobb hangsúlyt kell fektetni a gyermekek szabadidős programjának megszervezésére, az egészséges életmódra történő nevelésre, sportolásra. Borzavár Községi Önkormányzatnak továbbra is gondoskodni kell a pénzbeli és természetbeni ellátások pénzügyi fedezetének, valamint a személyes gondoskodás különböző formáit nyújtó önkormányzati intézmények működtetési feltételeinek folyamatos biztosításáról, továbbá a gyermekétkeztetésről.</w:t>
      </w:r>
    </w:p>
    <w:p w:rsidR="006C2555" w:rsidRDefault="006C2555" w:rsidP="00CD093D">
      <w:pPr>
        <w:widowControl w:val="0"/>
        <w:autoSpaceDE w:val="0"/>
        <w:jc w:val="both"/>
        <w:rPr>
          <w:b/>
          <w:bCs/>
        </w:rPr>
      </w:pPr>
    </w:p>
    <w:p w:rsidR="006C2555" w:rsidRDefault="006C2555" w:rsidP="00CD093D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6C2555" w:rsidRPr="00BB6D30" w:rsidRDefault="006C2555" w:rsidP="00CD093D">
      <w:pPr>
        <w:widowControl w:val="0"/>
        <w:autoSpaceDE w:val="0"/>
        <w:jc w:val="both"/>
        <w:rPr>
          <w:b/>
          <w:bCs/>
          <w:sz w:val="28"/>
          <w:szCs w:val="28"/>
        </w:rPr>
      </w:pPr>
      <w:r w:rsidRPr="00BB6D30">
        <w:rPr>
          <w:b/>
          <w:bCs/>
          <w:sz w:val="28"/>
          <w:szCs w:val="28"/>
        </w:rPr>
        <w:t>VII.</w:t>
      </w:r>
    </w:p>
    <w:p w:rsidR="006C2555" w:rsidRPr="00BB6D30" w:rsidRDefault="006C2555" w:rsidP="00CD093D">
      <w:pPr>
        <w:widowControl w:val="0"/>
        <w:autoSpaceDE w:val="0"/>
        <w:jc w:val="both"/>
        <w:rPr>
          <w:b/>
          <w:bCs/>
          <w:sz w:val="28"/>
          <w:szCs w:val="28"/>
          <w:u w:val="single"/>
        </w:rPr>
      </w:pPr>
      <w:r w:rsidRPr="00BB6D30">
        <w:rPr>
          <w:b/>
          <w:bCs/>
          <w:sz w:val="28"/>
          <w:szCs w:val="28"/>
          <w:u w:val="single"/>
        </w:rPr>
        <w:t>Bűnmegelőzési tevékenység:</w:t>
      </w:r>
    </w:p>
    <w:p w:rsidR="006C2555" w:rsidRPr="00BB6D30" w:rsidRDefault="006C2555" w:rsidP="00CD093D">
      <w:pPr>
        <w:widowControl w:val="0"/>
        <w:autoSpaceDE w:val="0"/>
        <w:jc w:val="both"/>
        <w:rPr>
          <w:b/>
          <w:bCs/>
          <w:sz w:val="28"/>
          <w:szCs w:val="28"/>
          <w:u w:val="single"/>
        </w:rPr>
      </w:pPr>
    </w:p>
    <w:p w:rsidR="006C2555" w:rsidRDefault="006C2555" w:rsidP="000A0DD4">
      <w:pPr>
        <w:widowControl w:val="0"/>
        <w:autoSpaceDE w:val="0"/>
        <w:jc w:val="both"/>
        <w:rPr>
          <w:u w:val="single"/>
        </w:rPr>
      </w:pPr>
      <w:r>
        <w:t>A gyermekkorú és fiatalkorú bűnelkövetőkre vonatkozó információ a Zirci Járás Szociális Szolgáltató Központ Gyermekjóléti Szolgálatának beszámolójában található.</w:t>
      </w:r>
    </w:p>
    <w:p w:rsidR="006C2555" w:rsidRDefault="006C2555" w:rsidP="000A0DD4">
      <w:pPr>
        <w:widowControl w:val="0"/>
        <w:autoSpaceDE w:val="0"/>
        <w:jc w:val="both"/>
        <w:rPr>
          <w:u w:val="single"/>
        </w:rPr>
      </w:pPr>
    </w:p>
    <w:p w:rsidR="006C2555" w:rsidRDefault="006C2555" w:rsidP="006C56CA">
      <w:pPr>
        <w:widowControl w:val="0"/>
        <w:autoSpaceDE w:val="0"/>
        <w:jc w:val="both"/>
      </w:pPr>
      <w:r>
        <w:t xml:space="preserve">Borzavár Községi Önkormányzat Képviselő-testülete a 41/2015. (VI.15.) határozatával fogadta el a </w:t>
      </w:r>
      <w:r w:rsidRPr="000028C1">
        <w:rPr>
          <w:b/>
        </w:rPr>
        <w:t>Települési Közbiztonsági és Bűnmegelőzési Koncepcióját</w:t>
      </w:r>
      <w:r>
        <w:t>, melyet a Veszprém Megyei Rendőr-főkapitányság Bűnügyi Igazgatóság Bűnmegelőzési Osztályának iránymutatásával a Nemzeti Bűnmegelőzési Stratégiával összhangban a Zirci Közös Önkormányzati Hivatal közbiztonsági referense készített el.  Korábban (2009-től) csak térségi Bűnmegelőzési és Közbiztonsági Koncepció volt.</w:t>
      </w:r>
    </w:p>
    <w:p w:rsidR="006C2555" w:rsidRDefault="006C2555" w:rsidP="006C56CA">
      <w:pPr>
        <w:widowControl w:val="0"/>
        <w:autoSpaceDE w:val="0"/>
        <w:jc w:val="both"/>
      </w:pPr>
    </w:p>
    <w:p w:rsidR="006C2555" w:rsidRPr="001E2D06" w:rsidRDefault="006C2555" w:rsidP="00B96918">
      <w:pPr>
        <w:jc w:val="both"/>
      </w:pPr>
      <w:r w:rsidRPr="002E72DC">
        <w:rPr>
          <w:u w:val="single"/>
        </w:rPr>
        <w:t>A gyermek- és fiatalkori bűnözés megelőzése, gyermek- és ifjúságvédele</w:t>
      </w:r>
      <w:r w:rsidRPr="002E72DC">
        <w:t>m</w:t>
      </w:r>
      <w:r w:rsidRPr="002E72DC">
        <w:rPr>
          <w:u w:val="single"/>
        </w:rPr>
        <w:t xml:space="preserve"> célja</w:t>
      </w:r>
      <w:r w:rsidRPr="002E72DC">
        <w:t>, a fiatalok</w:t>
      </w:r>
      <w:r w:rsidRPr="001E2D06">
        <w:t xml:space="preserve"> felkarolása és a fiatalkori bűnözés visszaszorításának elősegítése. A bűnelkövetésben a döntő tényező a közvetlen környezetből – családból (mikrokörnyezet), tágabb kulturális környezetből (makro környezet) – érkező kedvezőtlen hatás. Térségünkben az egyik legfontosabb tényező azoknak a folyamatoknak és hatásoknak az együttes megjelenése, melyek az egyént a társadalom perifériájára sodorják. Ez olyan speciális élethelyzetből kikerült fiatalok esetében figyelhető meg, akiknél súlyos viselkedésbeli zavar, deviancia alakult ki mely a bűnelkövetővé váláshoz vezet. </w:t>
      </w:r>
    </w:p>
    <w:p w:rsidR="006C2555" w:rsidRPr="001E2D06" w:rsidRDefault="006C2555" w:rsidP="00B96918">
      <w:pPr>
        <w:jc w:val="both"/>
      </w:pPr>
    </w:p>
    <w:p w:rsidR="006C2555" w:rsidRDefault="006C2555" w:rsidP="00B96918">
      <w:pPr>
        <w:jc w:val="both"/>
      </w:pPr>
      <w:r w:rsidRPr="001E2D06">
        <w:t>A visszaszorításban leginkább két beavatkozási terület emelhető ki a család és az iskola. Gyakoriak azok a családok ahol a szülők nem rendelkeznek elég információval a gyermekük magán-, iskolai-, társas-életével kapcsolatban. Ezek a családok nem segítik a gyerek egészséges, pozitív életszemléletének a kialakítását, melyet sok esetben a felgyorsult, anyagias világ sem támogat. Több településen találunk halmozottan hátrányos társadalmi csoportokat ahol a fiatalok felnőtté válása sok esetben összefügg a bűncselekmények elkövetésével,</w:t>
      </w:r>
      <w:r>
        <w:t xml:space="preserve"> a deviáns magatartással.</w:t>
      </w:r>
    </w:p>
    <w:p w:rsidR="006C2555" w:rsidRPr="001E2D06" w:rsidRDefault="006C2555" w:rsidP="00B96918">
      <w:pPr>
        <w:jc w:val="both"/>
      </w:pPr>
    </w:p>
    <w:p w:rsidR="006C2555" w:rsidRPr="001E2D06" w:rsidRDefault="006C2555" w:rsidP="00B96918">
      <w:pPr>
        <w:jc w:val="both"/>
      </w:pPr>
      <w:r w:rsidRPr="001E2D06">
        <w:t xml:space="preserve">A fiatalok számára – bárhonnan is származnak – elsődleges lenne a pozitív családmodell és a család közösségi szerepe. </w:t>
      </w:r>
    </w:p>
    <w:p w:rsidR="006C2555" w:rsidRPr="001E2D06" w:rsidRDefault="006C2555" w:rsidP="00B96918">
      <w:pPr>
        <w:jc w:val="both"/>
      </w:pPr>
    </w:p>
    <w:p w:rsidR="006C2555" w:rsidRPr="001E2D06" w:rsidRDefault="006C2555" w:rsidP="00B96918">
      <w:pPr>
        <w:jc w:val="both"/>
      </w:pPr>
      <w:r w:rsidRPr="001E2D06">
        <w:t xml:space="preserve">A gyermekek és a fiatalok második legfontosabb állomása az iskola. Az iskolaközösségek általában homogén csoportokat alkotnak, de egyre több azoknak a száma, akiket az iskolai közösségekből kiközösítenek, hiszen a társadalmi, származási, fogyatékosságból eredő problémák ellentéteket válthatnak ki a gyermekekből.  </w:t>
      </w:r>
    </w:p>
    <w:p w:rsidR="006C2555" w:rsidRPr="001E2D06" w:rsidRDefault="006C2555" w:rsidP="00B96918">
      <w:pPr>
        <w:jc w:val="both"/>
      </w:pPr>
    </w:p>
    <w:p w:rsidR="006C2555" w:rsidRPr="001E2D06" w:rsidRDefault="006C2555" w:rsidP="00B96918">
      <w:pPr>
        <w:jc w:val="both"/>
      </w:pPr>
      <w:r w:rsidRPr="001E2D06">
        <w:t>Az iskola egyre kevésbé képes ellátni nevelő feladatát, funkciója kizárólag az oktatás köré összpontosul, mely leginkább a hagyományos oktatási rendszer folyamatos változásának köszönhető. Ezek a folyamatok a városi iskolákban gyorsabban, a vidéki iskolákban</w:t>
      </w:r>
      <w:r>
        <w:t xml:space="preserve"> </w:t>
      </w:r>
      <w:r w:rsidRPr="001E2D06">
        <w:t xml:space="preserve">lassabban következnek be. Ennek a kialakult szemléletnek - a nagy erőfeszítést igénylő - változtatásával is eredményt érhetünk el, ezáltal a fiatalokban kedvezőbb értékítélet alakulna ki. </w:t>
      </w:r>
    </w:p>
    <w:p w:rsidR="006C2555" w:rsidRDefault="006C2555" w:rsidP="006C56CA">
      <w:pPr>
        <w:widowControl w:val="0"/>
        <w:autoSpaceDE w:val="0"/>
        <w:jc w:val="both"/>
      </w:pPr>
    </w:p>
    <w:p w:rsidR="006C2555" w:rsidRDefault="006C2555" w:rsidP="006C56CA">
      <w:pPr>
        <w:widowControl w:val="0"/>
        <w:autoSpaceDE w:val="0"/>
        <w:jc w:val="both"/>
        <w:rPr>
          <w:b/>
        </w:rPr>
      </w:pPr>
      <w:r w:rsidRPr="000028C1">
        <w:rPr>
          <w:b/>
        </w:rPr>
        <w:t>A prioritásokhoz igazodó, időtávokra tagolt cselekvési terv közé került – a gyermekekhez kapcsolódóan:</w:t>
      </w:r>
    </w:p>
    <w:p w:rsidR="006C2555" w:rsidRPr="000028C1" w:rsidRDefault="006C2555" w:rsidP="006C56CA">
      <w:pPr>
        <w:widowControl w:val="0"/>
        <w:autoSpaceDE w:val="0"/>
        <w:jc w:val="both"/>
        <w:rPr>
          <w:b/>
        </w:rPr>
      </w:pPr>
    </w:p>
    <w:p w:rsidR="006C2555" w:rsidRPr="000028C1" w:rsidRDefault="006C2555" w:rsidP="002B1C3F">
      <w:pPr>
        <w:widowControl w:val="0"/>
        <w:autoSpaceDE w:val="0"/>
        <w:jc w:val="both"/>
        <w:rPr>
          <w:i/>
        </w:rPr>
      </w:pPr>
      <w:r>
        <w:rPr>
          <w:i/>
        </w:rPr>
        <w:t xml:space="preserve">1./ </w:t>
      </w:r>
      <w:r w:rsidRPr="000028C1">
        <w:rPr>
          <w:i/>
        </w:rPr>
        <w:t>A gyermek és fiatalkori bűnözés csökkentése</w:t>
      </w:r>
    </w:p>
    <w:p w:rsidR="006C2555" w:rsidRPr="00021E16" w:rsidRDefault="006C2555" w:rsidP="00106F97">
      <w:pPr>
        <w:ind w:left="360"/>
        <w:jc w:val="both"/>
      </w:pPr>
      <w:r w:rsidRPr="00021E16">
        <w:t xml:space="preserve">Fontos feladat szem előtt tartani, hogy ennek a korosztálynak a célirányos preventív nevelésével a későbbi bűnözés csökkenthető, visszaszorítható. D.A.D.A. program népszerűsítése,  bűnmegelőzési előadások a tanulók a szülők és a pedagógusok számára. A tanév során az oktatási intézményekben a nyári szünidők alkalmával pedig a táborokban szükséges bűnmegelőzési - áldozatvédelmi előadásokat tartani a rendőrség és más együttműködő szervezet munkatársaival együtt. </w:t>
      </w:r>
    </w:p>
    <w:p w:rsidR="006C2555" w:rsidRPr="002B1C3F" w:rsidRDefault="006C2555" w:rsidP="002B1C3F">
      <w:pPr>
        <w:widowControl w:val="0"/>
        <w:autoSpaceDE w:val="0"/>
        <w:jc w:val="both"/>
      </w:pPr>
    </w:p>
    <w:p w:rsidR="006C2555" w:rsidRDefault="006C2555" w:rsidP="002B1C3F">
      <w:pPr>
        <w:pStyle w:val="Heading3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6C2555" w:rsidRPr="000028C1" w:rsidRDefault="006C2555" w:rsidP="002B1C3F">
      <w:pPr>
        <w:pStyle w:val="Heading3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2./</w:t>
      </w:r>
      <w:r w:rsidRPr="000028C1">
        <w:rPr>
          <w:rFonts w:ascii="Times New Roman" w:hAnsi="Times New Roman" w:cs="Times New Roman"/>
          <w:b w:val="0"/>
          <w:i/>
          <w:sz w:val="24"/>
          <w:szCs w:val="24"/>
        </w:rPr>
        <w:t xml:space="preserve"> A droghasználat és a kábítószer-bűnözés kezelése, megelőzése:  </w:t>
      </w:r>
    </w:p>
    <w:p w:rsidR="006C2555" w:rsidRPr="002B1C3F" w:rsidRDefault="006C2555" w:rsidP="00153C51">
      <w:pPr>
        <w:ind w:left="360"/>
        <w:jc w:val="both"/>
      </w:pPr>
      <w:r w:rsidRPr="00021E16">
        <w:t xml:space="preserve">Ennek érdekében széleskörű társadalmi és intézményi összefogásra van szükség. A már évek óta működő Kábítószer Egyeztető Fórum (KEF) működését inspirálni, munkájukat segíteni, a társszervekkel közösen a fiatalok, szüleik valamint a pedagógusok számára felvilágosító előadások szervezése </w:t>
      </w:r>
    </w:p>
    <w:p w:rsidR="006C2555" w:rsidRPr="000028C1" w:rsidRDefault="006C2555" w:rsidP="002B1C3F">
      <w:pPr>
        <w:pStyle w:val="Heading3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3./ </w:t>
      </w:r>
      <w:r w:rsidRPr="000028C1">
        <w:rPr>
          <w:rFonts w:ascii="Times New Roman" w:hAnsi="Times New Roman" w:cs="Times New Roman"/>
          <w:b w:val="0"/>
          <w:i/>
          <w:sz w:val="24"/>
          <w:szCs w:val="24"/>
        </w:rPr>
        <w:t>A családon belüli erőszak megelőzése, megtörtént esetek megfelelő kezelése</w:t>
      </w:r>
    </w:p>
    <w:p w:rsidR="006C2555" w:rsidRDefault="006C2555" w:rsidP="00106F97">
      <w:pPr>
        <w:ind w:left="360"/>
        <w:jc w:val="both"/>
      </w:pPr>
      <w:r w:rsidRPr="00021E16">
        <w:t xml:space="preserve">A </w:t>
      </w:r>
      <w:r>
        <w:t>Zirci rendőrőrs munkatársai</w:t>
      </w:r>
      <w:r w:rsidRPr="00021E16">
        <w:t xml:space="preserve">, a megelőzési előadó, a </w:t>
      </w:r>
      <w:r>
        <w:t>család-</w:t>
      </w:r>
      <w:r w:rsidRPr="00021E16">
        <w:t xml:space="preserve"> és </w:t>
      </w:r>
      <w:r>
        <w:t>g</w:t>
      </w:r>
      <w:r w:rsidRPr="00021E16">
        <w:t xml:space="preserve">yermekjóléti </w:t>
      </w:r>
      <w:r w:rsidRPr="001F5934">
        <w:t>szakemberek,</w:t>
      </w:r>
      <w:r>
        <w:t xml:space="preserve"> az óvodai és iskolai szociális segítők,</w:t>
      </w:r>
      <w:r w:rsidRPr="001F5934">
        <w:t xml:space="preserve"> a védőnők, háziorvosok, házi gyermekorvosok és a pedagógusok napi jellegű</w:t>
      </w:r>
      <w:r w:rsidRPr="00021E16">
        <w:t xml:space="preserve"> kapcsolattartásával hatékony eredmény érhető el.  Kiemelt feladat a problémás családok feltérképezése, segítése, a jelzőrendszer tagjaival probléma esetén a gyors és közvetlen kapcsolat felvétele és a szükséges intézkedések összehangolt végrehajtása. </w:t>
      </w:r>
    </w:p>
    <w:p w:rsidR="006C2555" w:rsidRDefault="006C2555" w:rsidP="00106F97">
      <w:pPr>
        <w:ind w:left="360"/>
        <w:jc w:val="both"/>
      </w:pPr>
    </w:p>
    <w:p w:rsidR="006C2555" w:rsidRDefault="006C2555" w:rsidP="00106F97">
      <w:pPr>
        <w:jc w:val="both"/>
      </w:pPr>
      <w:r>
        <w:rPr>
          <w:b/>
        </w:rPr>
        <w:t xml:space="preserve"> Koncepció alapján a megvalósítás eszközei egy bűnmegelőzési és közbiztonsági költségvetési célkeret létrehozása (</w:t>
      </w:r>
      <w:r>
        <w:t>Ki kell alakítani a közbiztonság megerősítésében és a bűnmegelőzési feladatokban résztvevő állami, önkormányzati szervek civil szervezetek (rendőrség, gyermekvédelmi rendszer, polgárőrség stb.) részére biztosítandó pénzeszközök juttatási, felhasználási rendszerét, melyhez a költségvetésben megjelenő és az így előre tervezhető keretösszeg biztosítása szükséges.)</w:t>
      </w:r>
    </w:p>
    <w:p w:rsidR="006C2555" w:rsidRDefault="006C2555" w:rsidP="00106F97">
      <w:pPr>
        <w:pStyle w:val="BodyText"/>
        <w:suppressAutoHyphens w:val="0"/>
        <w:spacing w:after="0"/>
        <w:jc w:val="both"/>
      </w:pPr>
    </w:p>
    <w:p w:rsidR="006C2555" w:rsidRPr="003322E5" w:rsidRDefault="006C2555" w:rsidP="00106F97">
      <w:pPr>
        <w:pStyle w:val="BodyText"/>
        <w:rPr>
          <w:b/>
        </w:rPr>
      </w:pPr>
      <w:r w:rsidRPr="003322E5">
        <w:rPr>
          <w:b/>
        </w:rPr>
        <w:t>A bűnmegelőzésért és közbiztonság megteremtésért felelős személyeknek hatékonyan együtt kell működnie:</w:t>
      </w:r>
    </w:p>
    <w:p w:rsidR="006C2555" w:rsidRPr="001F5934" w:rsidRDefault="006C2555" w:rsidP="00106F97">
      <w:pPr>
        <w:pStyle w:val="BodyText"/>
        <w:numPr>
          <w:ilvl w:val="0"/>
          <w:numId w:val="3"/>
        </w:numPr>
        <w:suppressAutoHyphens w:val="0"/>
        <w:spacing w:after="0"/>
        <w:jc w:val="both"/>
      </w:pPr>
      <w:r w:rsidRPr="001F5934">
        <w:t>rendőrség, katasztróf</w:t>
      </w:r>
      <w:r>
        <w:t xml:space="preserve">avédelem területileg illetékes </w:t>
      </w:r>
      <w:r w:rsidRPr="001F5934">
        <w:t>szervezeteivel</w:t>
      </w:r>
    </w:p>
    <w:p w:rsidR="006C2555" w:rsidRPr="001F5934" w:rsidRDefault="006C2555" w:rsidP="00106F97">
      <w:pPr>
        <w:pStyle w:val="BodyText"/>
        <w:numPr>
          <w:ilvl w:val="0"/>
          <w:numId w:val="3"/>
        </w:numPr>
        <w:suppressAutoHyphens w:val="0"/>
        <w:spacing w:after="0"/>
        <w:jc w:val="both"/>
      </w:pPr>
      <w:r w:rsidRPr="001F5934">
        <w:t>foglalkoztatáspolitikához kapcsolódó intézményekkel, azok képviselőivel</w:t>
      </w:r>
    </w:p>
    <w:p w:rsidR="006C2555" w:rsidRPr="001F5934" w:rsidRDefault="006C2555" w:rsidP="00106F97">
      <w:pPr>
        <w:pStyle w:val="BodyText"/>
        <w:numPr>
          <w:ilvl w:val="0"/>
          <w:numId w:val="3"/>
        </w:numPr>
        <w:suppressAutoHyphens w:val="0"/>
        <w:spacing w:after="0"/>
        <w:jc w:val="both"/>
      </w:pPr>
      <w:r w:rsidRPr="001F5934">
        <w:t>a környező települések polgárőr egyesület vezetőivel</w:t>
      </w:r>
    </w:p>
    <w:p w:rsidR="006C2555" w:rsidRPr="001F5934" w:rsidRDefault="006C2555" w:rsidP="00106F97">
      <w:pPr>
        <w:pStyle w:val="BodyText"/>
        <w:numPr>
          <w:ilvl w:val="0"/>
          <w:numId w:val="3"/>
        </w:numPr>
        <w:suppressAutoHyphens w:val="0"/>
        <w:spacing w:after="0"/>
        <w:jc w:val="both"/>
      </w:pPr>
      <w:r w:rsidRPr="001F5934">
        <w:t>önkormányzati vagy egyéb szociális ellátó rendszerhez tartozó személyekkel</w:t>
      </w:r>
    </w:p>
    <w:p w:rsidR="006C2555" w:rsidRPr="001F5934" w:rsidRDefault="006C2555" w:rsidP="00106F97">
      <w:pPr>
        <w:pStyle w:val="BodyText"/>
        <w:numPr>
          <w:ilvl w:val="0"/>
          <w:numId w:val="3"/>
        </w:numPr>
        <w:suppressAutoHyphens w:val="0"/>
        <w:spacing w:after="0"/>
        <w:jc w:val="both"/>
      </w:pPr>
      <w:r w:rsidRPr="001F5934">
        <w:t>gyermekvédelmi, gyermekjóléti, az oktatási és ifjúságvédelmi szféra helyi intézményeivel, felelőseivel</w:t>
      </w:r>
    </w:p>
    <w:p w:rsidR="006C2555" w:rsidRPr="001F5934" w:rsidRDefault="006C2555" w:rsidP="00106F97">
      <w:pPr>
        <w:pStyle w:val="BodyText"/>
        <w:numPr>
          <w:ilvl w:val="0"/>
          <w:numId w:val="3"/>
        </w:numPr>
        <w:suppressAutoHyphens w:val="0"/>
        <w:spacing w:after="0"/>
        <w:jc w:val="both"/>
      </w:pPr>
      <w:r w:rsidRPr="001F5934">
        <w:t>az egyház képviselőjével</w:t>
      </w:r>
    </w:p>
    <w:p w:rsidR="006C2555" w:rsidRPr="001F5934" w:rsidRDefault="006C2555" w:rsidP="00106F97">
      <w:pPr>
        <w:pStyle w:val="BodyText"/>
        <w:numPr>
          <w:ilvl w:val="0"/>
          <w:numId w:val="3"/>
        </w:numPr>
        <w:suppressAutoHyphens w:val="0"/>
        <w:spacing w:after="0"/>
        <w:jc w:val="both"/>
      </w:pPr>
      <w:r w:rsidRPr="001F5934">
        <w:t>a gazdasági élet helyi meghatározó szereplőivel (ipari, kereskedelmi</w:t>
      </w:r>
      <w:r w:rsidRPr="002E72DC">
        <w:rPr>
          <w:strike/>
        </w:rPr>
        <w:t>,</w:t>
      </w:r>
      <w:r w:rsidRPr="001F5934">
        <w:t xml:space="preserve"> vállalkozók)</w:t>
      </w:r>
    </w:p>
    <w:p w:rsidR="006C2555" w:rsidRPr="001F5934" w:rsidRDefault="006C2555" w:rsidP="00106F97">
      <w:pPr>
        <w:pStyle w:val="BodyText"/>
        <w:numPr>
          <w:ilvl w:val="0"/>
          <w:numId w:val="3"/>
        </w:numPr>
        <w:suppressAutoHyphens w:val="0"/>
        <w:spacing w:after="0"/>
        <w:jc w:val="both"/>
      </w:pPr>
      <w:r w:rsidRPr="001F5934">
        <w:t>kulturális és szórakozási célt szolgáló kiemelt objektum vezetőivel</w:t>
      </w:r>
    </w:p>
    <w:p w:rsidR="006C2555" w:rsidRDefault="006C2555" w:rsidP="00106F97">
      <w:pPr>
        <w:pStyle w:val="BodyText"/>
        <w:jc w:val="both"/>
      </w:pPr>
    </w:p>
    <w:p w:rsidR="006C2555" w:rsidRPr="00044C5C" w:rsidRDefault="006C2555" w:rsidP="006C56CA">
      <w:pPr>
        <w:widowControl w:val="0"/>
        <w:autoSpaceDE w:val="0"/>
        <w:jc w:val="both"/>
        <w:rPr>
          <w:i/>
        </w:rPr>
      </w:pPr>
      <w:r>
        <w:t xml:space="preserve">A megelőzés hatékony kommunikációjára van szükség: </w:t>
      </w:r>
      <w:r w:rsidRPr="00044C5C">
        <w:rPr>
          <w:i/>
        </w:rPr>
        <w:t>Az iskolában következetesen és hitelesen kell információt közvetíteni a közömbösség kialakulása ellen, az egyéni védekező reflexek aktiválására</w:t>
      </w:r>
      <w:r>
        <w:rPr>
          <w:i/>
        </w:rPr>
        <w:t>.</w:t>
      </w:r>
    </w:p>
    <w:p w:rsidR="006C2555" w:rsidRDefault="006C2555" w:rsidP="00CD093D">
      <w:pPr>
        <w:widowControl w:val="0"/>
        <w:autoSpaceDE w:val="0"/>
        <w:jc w:val="both"/>
        <w:rPr>
          <w:color w:val="FF0000"/>
        </w:rPr>
      </w:pPr>
    </w:p>
    <w:p w:rsidR="006C2555" w:rsidRPr="00044C5C" w:rsidRDefault="006C2555" w:rsidP="00CD093D">
      <w:pPr>
        <w:widowControl w:val="0"/>
        <w:autoSpaceDE w:val="0"/>
        <w:jc w:val="both"/>
      </w:pPr>
      <w:r w:rsidRPr="00044C5C">
        <w:t>A Gyvt a települési önkormányzat feladataként nevesíti a gyermekek védelme helyi ellátó rendszerének kiépítését és működtetését, a területén lakó gyermekek ellátásának megszervezését. Ahhoz, hogy az önkormányzat ezen feladatának maradéktalanul eleget tudjon tenni, mindenképpen szükséges a gyermekjóléti, oktatási, egészségügyi és hatósági területen tevékenykedő szakemberek együttműködése, a civil szerveződések bevonása, hiszen ezáltal lehet a meglévő ellátások színvonalának magasabb szintre történő emelése, illetve azok bővítése, új szolgáltatások bevezetése. Az évente megrendezésre kerülő Gyermekvédelmi Tanácskozás is a fenti célokat szolgálja.</w:t>
      </w:r>
    </w:p>
    <w:p w:rsidR="006C2555" w:rsidRDefault="006C2555" w:rsidP="00CD093D">
      <w:pPr>
        <w:widowControl w:val="0"/>
        <w:autoSpaceDE w:val="0"/>
        <w:jc w:val="both"/>
        <w:rPr>
          <w:b/>
          <w:sz w:val="28"/>
          <w:szCs w:val="28"/>
        </w:rPr>
      </w:pPr>
    </w:p>
    <w:p w:rsidR="006C2555" w:rsidRPr="003B3EED" w:rsidRDefault="006C2555" w:rsidP="00CD093D">
      <w:pPr>
        <w:widowControl w:val="0"/>
        <w:autoSpaceDE w:val="0"/>
        <w:jc w:val="both"/>
        <w:rPr>
          <w:b/>
          <w:sz w:val="28"/>
          <w:szCs w:val="28"/>
        </w:rPr>
      </w:pPr>
      <w:r w:rsidRPr="003B3EED">
        <w:rPr>
          <w:b/>
          <w:sz w:val="28"/>
          <w:szCs w:val="28"/>
        </w:rPr>
        <w:t>VIII.</w:t>
      </w:r>
    </w:p>
    <w:p w:rsidR="006C2555" w:rsidRPr="003B3EED" w:rsidRDefault="006C2555" w:rsidP="00154A6D">
      <w:pPr>
        <w:widowControl w:val="0"/>
        <w:autoSpaceDE w:val="0"/>
        <w:jc w:val="both"/>
        <w:rPr>
          <w:b/>
          <w:sz w:val="28"/>
          <w:szCs w:val="28"/>
          <w:u w:val="single"/>
        </w:rPr>
      </w:pPr>
      <w:r w:rsidRPr="003B3EED">
        <w:rPr>
          <w:b/>
          <w:sz w:val="28"/>
          <w:szCs w:val="28"/>
          <w:u w:val="single"/>
        </w:rPr>
        <w:t xml:space="preserve">A települési önkormányzat és a civil szervezetek közötti együttműködés keretében ellátott feladatok, szolgáltatások </w:t>
      </w:r>
    </w:p>
    <w:p w:rsidR="006C2555" w:rsidRDefault="006C2555" w:rsidP="00154A6D">
      <w:pPr>
        <w:widowControl w:val="0"/>
        <w:autoSpaceDE w:val="0"/>
        <w:jc w:val="both"/>
      </w:pPr>
    </w:p>
    <w:p w:rsidR="006C2555" w:rsidRPr="00CA1CC5" w:rsidRDefault="006C2555" w:rsidP="007E4622">
      <w:pPr>
        <w:widowControl w:val="0"/>
        <w:autoSpaceDE w:val="0"/>
        <w:jc w:val="both"/>
        <w:rPr>
          <w:rFonts w:ascii="Century Gothic" w:hAnsi="Century Gothic" w:cs="Century Gothic"/>
          <w:bCs/>
          <w:iCs/>
        </w:rPr>
      </w:pPr>
      <w:r w:rsidRPr="00CA1CC5">
        <w:t xml:space="preserve">Borzavár községben hagyományosan kerül megrendezésre évről évre a gyermeknap, amely színvonalasan szolgálja a gyermekek szórakozását, nevelését. Iskolai keretek között működik egy focicsapat, mely eredményes szerepel a körzeti és megyei versenyeken. Az iskola és óvoda rendszeresen tart rendezvényeket, kézműves foglalkozásokat, kirándulásokat, színházlátogatásokat szerveznek. Az iskolás gyermekek rendszeresen műsort adnak a községi rendezvényeken pl. a Hősök Napi megemlékezésen, illetve jótékonysági gálaestet tartanak. </w:t>
      </w:r>
    </w:p>
    <w:p w:rsidR="006C2555" w:rsidRDefault="006C2555" w:rsidP="003460CE">
      <w:pPr>
        <w:pStyle w:val="Header"/>
        <w:rPr>
          <w:bCs/>
          <w:iCs/>
        </w:rPr>
      </w:pPr>
    </w:p>
    <w:p w:rsidR="006C2555" w:rsidRPr="005B7C5C" w:rsidRDefault="006C2555" w:rsidP="003460CE">
      <w:pPr>
        <w:pStyle w:val="Header"/>
        <w:rPr>
          <w:bCs/>
          <w:iCs/>
        </w:rPr>
      </w:pPr>
      <w:r>
        <w:rPr>
          <w:bCs/>
          <w:iCs/>
        </w:rPr>
        <w:t>Zirc, 2020. május 21.</w:t>
      </w:r>
      <w:r>
        <w:rPr>
          <w:rFonts w:ascii="Century Gothic" w:hAnsi="Century Gothic" w:cs="Century Gothic"/>
          <w:bCs/>
          <w:iCs/>
        </w:rPr>
        <w:tab/>
        <w:t xml:space="preserve">                </w:t>
      </w:r>
      <w:r>
        <w:rPr>
          <w:rFonts w:ascii="Century Gothic" w:hAnsi="Century Gothic" w:cs="Century Gothic"/>
          <w:bCs/>
          <w:iCs/>
        </w:rPr>
        <w:tab/>
      </w:r>
      <w:r w:rsidRPr="005B7C5C">
        <w:rPr>
          <w:bCs/>
          <w:iCs/>
        </w:rPr>
        <w:t xml:space="preserve">  Sümegi Attila</w:t>
      </w:r>
    </w:p>
    <w:p w:rsidR="006C2555" w:rsidRDefault="006C2555" w:rsidP="003460CE">
      <w:pPr>
        <w:pStyle w:val="Header"/>
        <w:rPr>
          <w:rFonts w:ascii="Century Gothic" w:hAnsi="Century Gothic" w:cs="Century Gothic"/>
          <w:bCs/>
          <w:iCs/>
        </w:rPr>
      </w:pPr>
      <w:r w:rsidRPr="005B7C5C">
        <w:rPr>
          <w:bCs/>
          <w:iCs/>
        </w:rPr>
        <w:tab/>
        <w:t xml:space="preserve">                                                                                                       </w:t>
      </w:r>
      <w:r>
        <w:rPr>
          <w:bCs/>
          <w:iCs/>
        </w:rPr>
        <w:t xml:space="preserve">                    </w:t>
      </w:r>
      <w:r w:rsidRPr="005B7C5C">
        <w:rPr>
          <w:bCs/>
          <w:iCs/>
        </w:rPr>
        <w:t xml:space="preserve">         jegyző</w:t>
      </w:r>
    </w:p>
    <w:p w:rsidR="006C2555" w:rsidRDefault="006C2555" w:rsidP="00C13EB8">
      <w:pPr>
        <w:pStyle w:val="Standard"/>
        <w:jc w:val="center"/>
        <w:rPr>
          <w:b/>
          <w:bCs/>
          <w:sz w:val="28"/>
          <w:szCs w:val="28"/>
        </w:rPr>
      </w:pPr>
    </w:p>
    <w:p w:rsidR="006C2555" w:rsidRDefault="006C2555" w:rsidP="00BC53CE">
      <w:pPr>
        <w:pStyle w:val="Header"/>
      </w:pPr>
    </w:p>
    <w:p w:rsidR="006C2555" w:rsidRDefault="006C2555" w:rsidP="00BC53CE">
      <w:pPr>
        <w:spacing w:line="360" w:lineRule="auto"/>
        <w:jc w:val="right"/>
      </w:pPr>
      <w:r>
        <w:t>2. melléklet</w:t>
      </w: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Beszámoló a</w:t>
      </w:r>
    </w:p>
    <w:p w:rsidR="006C2555" w:rsidRDefault="006C2555" w:rsidP="00BC53C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Zirci Önkormányzati Szolgáltató Központ</w:t>
      </w:r>
    </w:p>
    <w:p w:rsidR="006C2555" w:rsidRDefault="006C2555" w:rsidP="00BC53C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Család- és Gyermekjóléti Szolgálat</w:t>
      </w:r>
    </w:p>
    <w:p w:rsidR="006C2555" w:rsidRDefault="006C2555" w:rsidP="00BC53C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2019. évi működéséről</w:t>
      </w: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Készítette: </w:t>
      </w:r>
    </w:p>
    <w:p w:rsidR="006C2555" w:rsidRDefault="006C2555" w:rsidP="00BC53CE">
      <w:pPr>
        <w:spacing w:line="360" w:lineRule="auto"/>
        <w:ind w:left="6372" w:firstLine="708"/>
        <w:jc w:val="both"/>
      </w:pPr>
      <w:r>
        <w:t>Koós Kata</w:t>
      </w:r>
    </w:p>
    <w:p w:rsidR="006C2555" w:rsidRDefault="006C2555" w:rsidP="00BC53C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Intézményvezető</w:t>
      </w: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</w:pPr>
    </w:p>
    <w:p w:rsidR="006C2555" w:rsidRDefault="006C2555" w:rsidP="00BC53CE">
      <w:pPr>
        <w:spacing w:line="360" w:lineRule="auto"/>
        <w:jc w:val="both"/>
        <w:rPr>
          <w:color w:val="C00000"/>
          <w:sz w:val="28"/>
          <w:szCs w:val="28"/>
        </w:rPr>
      </w:pPr>
    </w:p>
    <w:p w:rsidR="006C2555" w:rsidRDefault="006C2555" w:rsidP="00BC53CE">
      <w:pPr>
        <w:spacing w:line="360" w:lineRule="auto"/>
        <w:jc w:val="both"/>
      </w:pPr>
      <w:r>
        <w:t>Zirc, 2020. május 10.</w:t>
      </w:r>
    </w:p>
    <w:p w:rsidR="006C2555" w:rsidRDefault="006C2555" w:rsidP="00BC53CE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6C2555" w:rsidRDefault="006C2555" w:rsidP="00BC53CE">
      <w:pPr>
        <w:spacing w:line="360" w:lineRule="auto"/>
        <w:ind w:firstLine="708"/>
        <w:jc w:val="both"/>
      </w:pPr>
      <w:r>
        <w:t xml:space="preserve">A Család- és Gyermekjóléti Szolgálat (a továbbiakban: Szolgálat) a gyermekek védelméről és a gyámügyi igazgatásról, valamint az 1993. évi III. törvény a szociális igazgatásról és a szociális ellátásokról szóló 1997. évi XXXI. törvény alapján végzi tevékenységét. Szakmai elvárásokat a megújult Protokoll, valamint a Dokumentációs vonalvezető, illetve Szakmai ajánlás mellett végeztük. </w:t>
      </w:r>
    </w:p>
    <w:p w:rsidR="006C2555" w:rsidRDefault="006C2555" w:rsidP="00BC53C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 2017. január 1-jén a Zirci Járás Szociális Szolgáltató Központból kivált a család- és gyermekjóléti szolgálat, valamint a család- és gyermekjóléti központ, így az általános iskolában és a szakképző iskolában működő konyhákkal együtt létrejött a Zirci Önkormányzati Szolgáltató Központ. A feladatellátás nem változott meg.</w:t>
      </w:r>
    </w:p>
    <w:p w:rsidR="006C2555" w:rsidRDefault="006C2555" w:rsidP="00BC53CE">
      <w:pPr>
        <w:pStyle w:val="Standard"/>
        <w:spacing w:line="360" w:lineRule="auto"/>
        <w:jc w:val="both"/>
        <w:rPr>
          <w:i/>
        </w:rPr>
      </w:pPr>
      <w:r>
        <w:rPr>
          <w:rFonts w:cs="Times New Roman"/>
        </w:rPr>
        <w:t xml:space="preserve">A Zirci Járás területén továbbra is három intézmény látja el a szolgálat feladatait, 4 családsegítővel. Csetény és Szápár településeken Barcza László, akit a két település önállóan alkalmaz. A Közjóléti Alapítvány a Vidéki Családokért (KAVICS) Család- és Gyermekjóléti Szolgálata, Fenyővári Csilla családsegítővel Dudar, Nagyesztergár, Bakonyoszlop, Bakonyszentkirály és Csesznek településeken, Nagy-Holczer Kinga családsegítővel Bakonybél, Pénzesgyőr, Olaszfalu, Porva és Bakonynána településeken látja el a szolgálat feladatit. </w:t>
      </w:r>
      <w:r>
        <w:rPr>
          <w:rFonts w:cs="Times New Roman"/>
          <w:b/>
          <w:i/>
        </w:rPr>
        <w:t>A Zirci Önkormányzati Szolgáltató Központ Család- és Gyermekjóléti Szolgálata Borzavár, Lókút és Zirc településeken látja el a feladatokat Koós Kata családsegítővel és Vargáné Nagy Katalin családsegítővel.</w:t>
      </w:r>
    </w:p>
    <w:p w:rsidR="006C2555" w:rsidRDefault="006C2555" w:rsidP="00BC53C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 2019-es évről az alábbiakat tudom elmondani: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409"/>
        <w:gridCol w:w="2409"/>
        <w:gridCol w:w="2409"/>
        <w:gridCol w:w="2410"/>
      </w:tblGrid>
      <w:tr w:rsidR="006C2555" w:rsidTr="00BC53CE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Zirc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Lókút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Borzavár</w:t>
            </w:r>
          </w:p>
        </w:tc>
      </w:tr>
      <w:tr w:rsidR="006C2555" w:rsidTr="00BC53CE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both"/>
            </w:pPr>
            <w:r>
              <w:rPr>
                <w:rFonts w:cs="Times New Roman"/>
                <w:b/>
                <w:bCs/>
              </w:rPr>
              <w:t xml:space="preserve">Gondozott személy/család </w:t>
            </w:r>
            <w:r>
              <w:rPr>
                <w:rFonts w:cs="Times New Roman"/>
                <w:bCs/>
              </w:rPr>
              <w:t>(együttműködési megállapodás alapján végzett tevékenység)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59/20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0/0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2/1</w:t>
            </w:r>
          </w:p>
        </w:tc>
      </w:tr>
      <w:tr w:rsidR="006C2555" w:rsidTr="00BC53CE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Tanácsadott személy/család</w:t>
            </w:r>
          </w:p>
          <w:p w:rsidR="006C2555" w:rsidRDefault="006C2555">
            <w:pPr>
              <w:pStyle w:val="TableContents"/>
              <w:jc w:val="both"/>
            </w:pPr>
            <w:r>
              <w:rPr>
                <w:rFonts w:cs="Times New Roman"/>
                <w:bCs/>
              </w:rPr>
              <w:t>(nem együttműködés megállapodás alapján végzett tevékenység)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53/34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15/6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13/5</w:t>
            </w:r>
          </w:p>
        </w:tc>
      </w:tr>
      <w:tr w:rsidR="006C2555" w:rsidTr="00BC53CE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Összesen személy/család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112/54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15/6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15/6</w:t>
            </w:r>
          </w:p>
        </w:tc>
      </w:tr>
    </w:tbl>
    <w:p w:rsidR="006C2555" w:rsidRDefault="006C2555" w:rsidP="00BC53CE">
      <w:pPr>
        <w:pStyle w:val="Standard"/>
        <w:spacing w:line="360" w:lineRule="auto"/>
        <w:jc w:val="both"/>
        <w:rPr>
          <w:rFonts w:cs="Times New Roman"/>
        </w:rPr>
      </w:pPr>
    </w:p>
    <w:p w:rsidR="006C2555" w:rsidRDefault="006C2555" w:rsidP="00BC53C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Tehát összesen 66 család 142 tagjával foglalkoztunk a 2019-es év folyamán.</w:t>
      </w:r>
    </w:p>
    <w:p w:rsidR="006C2555" w:rsidRDefault="006C2555" w:rsidP="00BC53CE">
      <w:pPr>
        <w:pStyle w:val="Standard"/>
        <w:spacing w:line="36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A 0-17 éves korosztály tekintetében a legtöbbször előforduló elsődleges probléma a tavalyi évben is az elhanyagolás lett a családi-kapcsolati (szülő-szülő, szülő-gyermek) konfliktussal együtt, ezeket szorosan követi a gyermeknevelési probléma, illetve a családokban egyre gyakrabban előforduló oktatási-nevelési elhanyagolás. Nagyon magas számú lett a kapcsolattartási problémákkal küzdő elvált szülők közötti közvetítési probléma. Sajnos idén is kiemelkedően magas lett a több probléma együttes előfordulása a családokban. Egyre komplexebb, egyre többfelé ágazó problémákkal szembesülünk évről évre.</w:t>
      </w:r>
    </w:p>
    <w:p w:rsidR="006C2555" w:rsidRDefault="006C2555" w:rsidP="00BC53C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 felnőtt korosztály körében az első helyen kiemelkedően továbbra is az anyagi problémák állnak, amik lakhatással, megélhetési problémákkal függnek össze, amelyek persze legtöbbször a nem megfelelő életvitelből alakulnak ki.</w:t>
      </w:r>
    </w:p>
    <w:p w:rsidR="006C2555" w:rsidRDefault="006C2555" w:rsidP="00BC53C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 tavalyi évben kivettük a gondozotti körből azokat a személyeket, akiknek a települési támogatás felhasználásának koordinálását Intézményünk végzi, mivel velük tényleges segítő tevékenység nem működik, csak eseti kapcsolattartás. Illetve a táblázatban nem kerültek kimutatásra a csak adományban részesülők, mivel ők egy-egy alkalommal jelennek meg, és több településről érkeznek. Azonban az ő számuk az év folyamán több, mint 200 fő volt.</w:t>
      </w:r>
    </w:p>
    <w:p w:rsidR="006C2555" w:rsidRDefault="006C2555" w:rsidP="00BC53CE">
      <w:pPr>
        <w:pStyle w:val="Standard"/>
        <w:spacing w:line="36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A három település viszonylatában az éves forgalom a következőképpen alakult: Borzavár 27, Lókút 87, Zirc 1441. Összesen 2 alkalommal osztottunk ruhát, ahol kb. 100 személy/család válogathatott. 100 gyermek kapott cipősdoboz ajándékot. Ezt az akciót a család- és gyermekjóléti központtal közösen hirdettük meg, így természetesen a Zirci járás teljes területéről érkezhettek ajándékok, valamint ajándékozott gyermekek.</w:t>
      </w:r>
    </w:p>
    <w:p w:rsidR="006C2555" w:rsidRDefault="006C2555" w:rsidP="00BC53CE">
      <w:pPr>
        <w:pStyle w:val="Standard"/>
        <w:spacing w:line="360" w:lineRule="auto"/>
        <w:jc w:val="both"/>
        <w:rPr>
          <w:rFonts w:cs="Times New Roman"/>
        </w:rPr>
      </w:pPr>
    </w:p>
    <w:p w:rsidR="006C2555" w:rsidRDefault="006C2555" w:rsidP="00BC53C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 tavalyi évben érkezett jelzések száma: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409"/>
        <w:gridCol w:w="2409"/>
        <w:gridCol w:w="2409"/>
        <w:gridCol w:w="2410"/>
      </w:tblGrid>
      <w:tr w:rsidR="006C2555" w:rsidTr="00BC53CE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Zirc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Lókút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Borzavár</w:t>
            </w:r>
          </w:p>
        </w:tc>
      </w:tr>
      <w:tr w:rsidR="006C2555" w:rsidTr="00BC53CE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Beérkezett jelzések száma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6C2555" w:rsidTr="00BC53CE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0-17 éves korú érintett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6C2555" w:rsidTr="00BC53CE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Nagykorú érintett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6C2555" w:rsidTr="00BC53CE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Érintett összesen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555" w:rsidRDefault="006C25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</w:tbl>
    <w:p w:rsidR="006C2555" w:rsidRDefault="006C2555" w:rsidP="00BC53CE">
      <w:pPr>
        <w:pStyle w:val="Standard"/>
        <w:spacing w:line="360" w:lineRule="auto"/>
        <w:jc w:val="both"/>
        <w:rPr>
          <w:rFonts w:cs="Times New Roman"/>
        </w:rPr>
      </w:pPr>
    </w:p>
    <w:p w:rsidR="006C2555" w:rsidRDefault="006C2555" w:rsidP="00BC53CE">
      <w:pPr>
        <w:pStyle w:val="Standard"/>
        <w:spacing w:line="36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Jelzések leggyakrabban továbbra is a jelzőrendszeri tagoktól jönnek (rendőrség, iskola, önkormányzat, védőnő és másik szolgálat, vagy a központ), de tovább nőtt azoknak a szülőknek a száma, akik önként kérnek segítséget. Ez általában a válás küszöbén álló párok, vagy a gyermekelhelyezésben megállapodni nem tudókra jellemezők, bár szaporodik a tanulási nehézségekkel küzdő gyermekek szüleinek a száma is.</w:t>
      </w:r>
    </w:p>
    <w:p w:rsidR="006C2555" w:rsidRDefault="006C2555" w:rsidP="00BC53CE">
      <w:pPr>
        <w:pStyle w:val="Standard"/>
        <w:spacing w:line="360" w:lineRule="auto"/>
        <w:jc w:val="both"/>
        <w:rPr>
          <w:rFonts w:cs="Times New Roman"/>
          <w:i/>
          <w:u w:val="single"/>
        </w:rPr>
      </w:pPr>
      <w:r>
        <w:rPr>
          <w:rFonts w:cs="Times New Roman"/>
          <w:i/>
          <w:u w:val="single"/>
        </w:rPr>
        <w:t>2019-ben megszervezett programjaink a család- és gyermekjóléti központtal közösen:</w:t>
      </w:r>
    </w:p>
    <w:p w:rsidR="006C2555" w:rsidRDefault="006C2555" w:rsidP="00BC53C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Tavasszal Húsvéti játszóházat szerveztünk, majd június elején a Bakonykarszt Zrt. családi napján biztosítottuk a gyermekprogramok egy részét a cég felkérésére. Még szintén júniusban volt ruhaosztásunk, illetve az Alkohol és Drogsegély Ambulancia munkatársai tartottak egy előadást az érdeklődőknek (főleg szociális szakembereknek és pedagógusoknak) a fiatalkorúak ellátási lehetőségeiről, illetve napjaink „drogjairól”. </w:t>
      </w:r>
      <w:r>
        <w:rPr>
          <w:rFonts w:cs="Times New Roman"/>
          <w:b/>
          <w:i/>
        </w:rPr>
        <w:t>Június utolsó 2 hetében Intézményünk biztosította a nyári napközit az igénylőknek (4-4 gyermek). Június utolsó hetében kezdődtek szervezett táboraink, így az első – Múlt-Jelen-Jövő elnevezésű – táborban 18 gyermek vett részt. Július első hetében 27 fő gyermek 2 fő kísérővel Erdélyben, az Ivói Erzsébet táborban tölthetett el egy hetet. Júliusban és augusztusban szerveztünk egy-egy napközis tábort, melyeken 40, illetve 41 gyermek vehetett részt</w:t>
      </w:r>
      <w:r>
        <w:rPr>
          <w:rFonts w:cs="Times New Roman"/>
        </w:rPr>
        <w:t>. Augusztus végén a Veszprémi Rendőrkapitányság felkérésére Csopakon, a családi napjukon biztosítottunk elfoglaltságot a gyerekeknek. Az őszi szünetben helyben szerveztünk kézműves foglalkozást gyereknek. Akik szerettek volna több időt tölteni barátaikkal, naponta jöhettek hozzánk filmet nézni szervezett keretek között, felügyelet mellett. December elején szintén a Veszprémi Rendőrkapitányság felkérésére a mikulás rendezvényen vettünk részt, valamint néhány nappal később magunk is szerveztünk karácsonyi kézműveskedést. December második hétvégéjén a Művelődési Házzal közösen lebonyolítottuk a „Mi házunk” elnevezésű rendezvényt, ami részben az Adventhez kötődött, részben Luca naphoz. Nagy sikert aratott. Az évi programok zárásaként december 18-án adtuk át a cipősdoboz ajándékokat egy kis műsör, illetve enni és innivaló keretében.</w:t>
      </w:r>
    </w:p>
    <w:p w:rsidR="006C2555" w:rsidRDefault="006C2555" w:rsidP="00BC53CE">
      <w:pPr>
        <w:pStyle w:val="Standard"/>
        <w:spacing w:line="360" w:lineRule="auto"/>
        <w:jc w:val="both"/>
        <w:rPr>
          <w:rFonts w:cs="Times New Roman"/>
        </w:rPr>
      </w:pPr>
    </w:p>
    <w:p w:rsidR="006C2555" w:rsidRDefault="006C2555" w:rsidP="00BC53CE">
      <w:pPr>
        <w:pStyle w:val="Header"/>
      </w:pPr>
    </w:p>
    <w:p w:rsidR="006C2555" w:rsidRDefault="006C2555" w:rsidP="00BC53CE">
      <w:pPr>
        <w:pStyle w:val="Header"/>
      </w:pPr>
    </w:p>
    <w:p w:rsidR="006C2555" w:rsidRDefault="006C2555" w:rsidP="00BC53CE">
      <w:pPr>
        <w:pStyle w:val="Header"/>
      </w:pPr>
    </w:p>
    <w:p w:rsidR="006C2555" w:rsidRDefault="006C2555" w:rsidP="00BC53CE">
      <w:pPr>
        <w:pStyle w:val="Header"/>
      </w:pPr>
    </w:p>
    <w:p w:rsidR="006C2555" w:rsidRDefault="006C2555" w:rsidP="00BC53CE">
      <w:pPr>
        <w:pStyle w:val="Header"/>
      </w:pPr>
    </w:p>
    <w:p w:rsidR="006C2555" w:rsidRDefault="006C2555" w:rsidP="00BC53CE">
      <w:pPr>
        <w:pStyle w:val="Header"/>
      </w:pPr>
    </w:p>
    <w:p w:rsidR="006C2555" w:rsidRDefault="006C2555" w:rsidP="00BC53CE">
      <w:pPr>
        <w:pStyle w:val="Header"/>
      </w:pPr>
    </w:p>
    <w:p w:rsidR="006C2555" w:rsidRDefault="006C2555" w:rsidP="00BC53CE">
      <w:pPr>
        <w:pStyle w:val="Header"/>
      </w:pPr>
    </w:p>
    <w:p w:rsidR="006C2555" w:rsidRDefault="006C2555" w:rsidP="00BC53CE">
      <w:pPr>
        <w:pStyle w:val="Header"/>
      </w:pPr>
    </w:p>
    <w:p w:rsidR="006C2555" w:rsidRDefault="006C2555" w:rsidP="00BC53CE">
      <w:pPr>
        <w:pStyle w:val="Header"/>
      </w:pPr>
    </w:p>
    <w:p w:rsidR="006C2555" w:rsidRDefault="006C2555" w:rsidP="00BC53CE">
      <w:pPr>
        <w:pStyle w:val="Header"/>
      </w:pPr>
    </w:p>
    <w:p w:rsidR="006C2555" w:rsidRDefault="006C2555" w:rsidP="00BC53CE">
      <w:pPr>
        <w:pStyle w:val="Header"/>
      </w:pPr>
    </w:p>
    <w:p w:rsidR="006C2555" w:rsidRDefault="006C2555" w:rsidP="00BC53CE">
      <w:pPr>
        <w:pStyle w:val="Header"/>
      </w:pPr>
    </w:p>
    <w:p w:rsidR="006C2555" w:rsidRDefault="006C2555" w:rsidP="00BC53CE">
      <w:pPr>
        <w:pStyle w:val="Header"/>
      </w:pPr>
    </w:p>
    <w:p w:rsidR="006C2555" w:rsidRDefault="006C2555" w:rsidP="00BC53CE">
      <w:pPr>
        <w:pStyle w:val="Standard"/>
        <w:rPr>
          <w:b/>
          <w:bCs/>
          <w:sz w:val="28"/>
          <w:szCs w:val="28"/>
        </w:rPr>
      </w:pPr>
    </w:p>
    <w:p w:rsidR="006C2555" w:rsidRDefault="006C2555" w:rsidP="00940129">
      <w:pPr>
        <w:spacing w:line="360" w:lineRule="auto"/>
        <w:jc w:val="both"/>
      </w:pPr>
    </w:p>
    <w:sectPr w:rsidR="006C2555" w:rsidSect="001B2875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55" w:rsidRDefault="006C2555">
      <w:r>
        <w:separator/>
      </w:r>
    </w:p>
  </w:endnote>
  <w:endnote w:type="continuationSeparator" w:id="0">
    <w:p w:rsidR="006C2555" w:rsidRDefault="006C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55" w:rsidRDefault="006C2555" w:rsidP="007D02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2555" w:rsidRDefault="006C25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55" w:rsidRDefault="006C2555" w:rsidP="007D02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6C2555" w:rsidRDefault="006C25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55" w:rsidRDefault="006C2555">
      <w:r>
        <w:separator/>
      </w:r>
    </w:p>
  </w:footnote>
  <w:footnote w:type="continuationSeparator" w:id="0">
    <w:p w:rsidR="006C2555" w:rsidRDefault="006C2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77288E"/>
    <w:multiLevelType w:val="hybridMultilevel"/>
    <w:tmpl w:val="1EEA53C4"/>
    <w:lvl w:ilvl="0" w:tplc="E5CEB29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F631B"/>
    <w:multiLevelType w:val="hybridMultilevel"/>
    <w:tmpl w:val="77E88B44"/>
    <w:lvl w:ilvl="0" w:tplc="4F246C80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E148B"/>
    <w:multiLevelType w:val="hybridMultilevel"/>
    <w:tmpl w:val="EC38C0FA"/>
    <w:lvl w:ilvl="0" w:tplc="658C078C">
      <w:start w:val="1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7D32414E"/>
    <w:multiLevelType w:val="hybridMultilevel"/>
    <w:tmpl w:val="16AAEE74"/>
    <w:lvl w:ilvl="0" w:tplc="1FB24B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3D6"/>
    <w:rsid w:val="000028C1"/>
    <w:rsid w:val="00002B5A"/>
    <w:rsid w:val="000055F7"/>
    <w:rsid w:val="00007F6F"/>
    <w:rsid w:val="00015485"/>
    <w:rsid w:val="00017928"/>
    <w:rsid w:val="00021E16"/>
    <w:rsid w:val="00022C8D"/>
    <w:rsid w:val="0002510D"/>
    <w:rsid w:val="00025DC5"/>
    <w:rsid w:val="00026E1E"/>
    <w:rsid w:val="00027BDD"/>
    <w:rsid w:val="000302E0"/>
    <w:rsid w:val="00035CC4"/>
    <w:rsid w:val="00042615"/>
    <w:rsid w:val="00044C5C"/>
    <w:rsid w:val="00045265"/>
    <w:rsid w:val="00053665"/>
    <w:rsid w:val="000553D1"/>
    <w:rsid w:val="00057728"/>
    <w:rsid w:val="00060AA9"/>
    <w:rsid w:val="0007014B"/>
    <w:rsid w:val="00076CD3"/>
    <w:rsid w:val="00093129"/>
    <w:rsid w:val="000A0DD4"/>
    <w:rsid w:val="000A747D"/>
    <w:rsid w:val="000C10CE"/>
    <w:rsid w:val="000C3083"/>
    <w:rsid w:val="000D3560"/>
    <w:rsid w:val="000D68D1"/>
    <w:rsid w:val="000D7C0F"/>
    <w:rsid w:val="000E0109"/>
    <w:rsid w:val="000E193C"/>
    <w:rsid w:val="000E34A5"/>
    <w:rsid w:val="000E5567"/>
    <w:rsid w:val="00106F97"/>
    <w:rsid w:val="00111808"/>
    <w:rsid w:val="0011323B"/>
    <w:rsid w:val="00122CC8"/>
    <w:rsid w:val="001345C3"/>
    <w:rsid w:val="001400EF"/>
    <w:rsid w:val="001428E8"/>
    <w:rsid w:val="00144B88"/>
    <w:rsid w:val="00153C51"/>
    <w:rsid w:val="00154A6D"/>
    <w:rsid w:val="00157116"/>
    <w:rsid w:val="001612C7"/>
    <w:rsid w:val="001633B1"/>
    <w:rsid w:val="00165B0E"/>
    <w:rsid w:val="00165F96"/>
    <w:rsid w:val="001677C0"/>
    <w:rsid w:val="0017739B"/>
    <w:rsid w:val="0018042C"/>
    <w:rsid w:val="001835D0"/>
    <w:rsid w:val="001916B7"/>
    <w:rsid w:val="00194F5B"/>
    <w:rsid w:val="001B2875"/>
    <w:rsid w:val="001B7342"/>
    <w:rsid w:val="001C7745"/>
    <w:rsid w:val="001D430C"/>
    <w:rsid w:val="001D536B"/>
    <w:rsid w:val="001E2D06"/>
    <w:rsid w:val="001E576A"/>
    <w:rsid w:val="001F5934"/>
    <w:rsid w:val="001F5A27"/>
    <w:rsid w:val="00206918"/>
    <w:rsid w:val="00230839"/>
    <w:rsid w:val="00230F43"/>
    <w:rsid w:val="002336D0"/>
    <w:rsid w:val="00234B1E"/>
    <w:rsid w:val="002355A9"/>
    <w:rsid w:val="00246849"/>
    <w:rsid w:val="00246F06"/>
    <w:rsid w:val="0026587E"/>
    <w:rsid w:val="00267325"/>
    <w:rsid w:val="0027039F"/>
    <w:rsid w:val="00273030"/>
    <w:rsid w:val="00291E0E"/>
    <w:rsid w:val="00292613"/>
    <w:rsid w:val="00297C2D"/>
    <w:rsid w:val="002A0336"/>
    <w:rsid w:val="002A2596"/>
    <w:rsid w:val="002B1C3F"/>
    <w:rsid w:val="002C063B"/>
    <w:rsid w:val="002C34A6"/>
    <w:rsid w:val="002C5415"/>
    <w:rsid w:val="002C62D9"/>
    <w:rsid w:val="002C7027"/>
    <w:rsid w:val="002D0D7E"/>
    <w:rsid w:val="002D25C7"/>
    <w:rsid w:val="002D7FA6"/>
    <w:rsid w:val="002E72DC"/>
    <w:rsid w:val="002F0EB7"/>
    <w:rsid w:val="00301935"/>
    <w:rsid w:val="003021F7"/>
    <w:rsid w:val="00321994"/>
    <w:rsid w:val="00323CE2"/>
    <w:rsid w:val="003263D2"/>
    <w:rsid w:val="00327E23"/>
    <w:rsid w:val="00331C58"/>
    <w:rsid w:val="003322E5"/>
    <w:rsid w:val="00335A3C"/>
    <w:rsid w:val="00335D43"/>
    <w:rsid w:val="00336851"/>
    <w:rsid w:val="003420D1"/>
    <w:rsid w:val="0034538F"/>
    <w:rsid w:val="003459CC"/>
    <w:rsid w:val="003460CE"/>
    <w:rsid w:val="0035327D"/>
    <w:rsid w:val="003665A5"/>
    <w:rsid w:val="00376B55"/>
    <w:rsid w:val="00376C5E"/>
    <w:rsid w:val="00377231"/>
    <w:rsid w:val="003811C8"/>
    <w:rsid w:val="0038364C"/>
    <w:rsid w:val="003910E0"/>
    <w:rsid w:val="00394FFA"/>
    <w:rsid w:val="003A2466"/>
    <w:rsid w:val="003B3EED"/>
    <w:rsid w:val="003B62E6"/>
    <w:rsid w:val="003C28AC"/>
    <w:rsid w:val="003C5D0E"/>
    <w:rsid w:val="003C7B32"/>
    <w:rsid w:val="003D396D"/>
    <w:rsid w:val="003D6CA1"/>
    <w:rsid w:val="003E245F"/>
    <w:rsid w:val="003E2C37"/>
    <w:rsid w:val="003E4F62"/>
    <w:rsid w:val="003E6D2F"/>
    <w:rsid w:val="003F52D1"/>
    <w:rsid w:val="003F59AD"/>
    <w:rsid w:val="003F78B5"/>
    <w:rsid w:val="003F7CB1"/>
    <w:rsid w:val="00411725"/>
    <w:rsid w:val="00411CD4"/>
    <w:rsid w:val="00412058"/>
    <w:rsid w:val="004173D6"/>
    <w:rsid w:val="00417EE4"/>
    <w:rsid w:val="00431192"/>
    <w:rsid w:val="00431402"/>
    <w:rsid w:val="00436DA2"/>
    <w:rsid w:val="00443614"/>
    <w:rsid w:val="00451C5D"/>
    <w:rsid w:val="00456AEE"/>
    <w:rsid w:val="00461EE4"/>
    <w:rsid w:val="00471A27"/>
    <w:rsid w:val="00471A7E"/>
    <w:rsid w:val="004A249F"/>
    <w:rsid w:val="004C0A57"/>
    <w:rsid w:val="004C34BF"/>
    <w:rsid w:val="004C4E97"/>
    <w:rsid w:val="004C609F"/>
    <w:rsid w:val="004D39C9"/>
    <w:rsid w:val="004E5B74"/>
    <w:rsid w:val="004E77CF"/>
    <w:rsid w:val="004F0925"/>
    <w:rsid w:val="004F5FFF"/>
    <w:rsid w:val="00504A6C"/>
    <w:rsid w:val="005050A9"/>
    <w:rsid w:val="00505FB4"/>
    <w:rsid w:val="005108BD"/>
    <w:rsid w:val="00511E17"/>
    <w:rsid w:val="00513EAA"/>
    <w:rsid w:val="0052217F"/>
    <w:rsid w:val="00523209"/>
    <w:rsid w:val="0052503B"/>
    <w:rsid w:val="005252E0"/>
    <w:rsid w:val="00526F6A"/>
    <w:rsid w:val="00542C5C"/>
    <w:rsid w:val="00543407"/>
    <w:rsid w:val="005454F5"/>
    <w:rsid w:val="00553A2E"/>
    <w:rsid w:val="005612DE"/>
    <w:rsid w:val="00561303"/>
    <w:rsid w:val="00564748"/>
    <w:rsid w:val="00565BFA"/>
    <w:rsid w:val="00581F26"/>
    <w:rsid w:val="005926F8"/>
    <w:rsid w:val="005A289C"/>
    <w:rsid w:val="005A59AF"/>
    <w:rsid w:val="005A7761"/>
    <w:rsid w:val="005B7C5C"/>
    <w:rsid w:val="005B7FF2"/>
    <w:rsid w:val="005C3912"/>
    <w:rsid w:val="005D4FDD"/>
    <w:rsid w:val="005D7D53"/>
    <w:rsid w:val="005F471B"/>
    <w:rsid w:val="005F5B7A"/>
    <w:rsid w:val="00602DAF"/>
    <w:rsid w:val="0061650F"/>
    <w:rsid w:val="00622ACC"/>
    <w:rsid w:val="00625929"/>
    <w:rsid w:val="00630359"/>
    <w:rsid w:val="00630803"/>
    <w:rsid w:val="006339C4"/>
    <w:rsid w:val="00635ED0"/>
    <w:rsid w:val="00636C1A"/>
    <w:rsid w:val="0064728B"/>
    <w:rsid w:val="006474A1"/>
    <w:rsid w:val="00655A84"/>
    <w:rsid w:val="0066428F"/>
    <w:rsid w:val="00664D8F"/>
    <w:rsid w:val="00666935"/>
    <w:rsid w:val="00666965"/>
    <w:rsid w:val="00673C6F"/>
    <w:rsid w:val="006844CD"/>
    <w:rsid w:val="006921A3"/>
    <w:rsid w:val="006973F7"/>
    <w:rsid w:val="00697AF7"/>
    <w:rsid w:val="006B00A6"/>
    <w:rsid w:val="006B1AF4"/>
    <w:rsid w:val="006B6411"/>
    <w:rsid w:val="006C0C72"/>
    <w:rsid w:val="006C2555"/>
    <w:rsid w:val="006C56CA"/>
    <w:rsid w:val="006D4AD8"/>
    <w:rsid w:val="006E11C8"/>
    <w:rsid w:val="006E72F8"/>
    <w:rsid w:val="006F0279"/>
    <w:rsid w:val="006F5280"/>
    <w:rsid w:val="006F7879"/>
    <w:rsid w:val="006F7F13"/>
    <w:rsid w:val="0071585E"/>
    <w:rsid w:val="00737DDB"/>
    <w:rsid w:val="00740719"/>
    <w:rsid w:val="00747F7E"/>
    <w:rsid w:val="00750126"/>
    <w:rsid w:val="0075209E"/>
    <w:rsid w:val="007625EB"/>
    <w:rsid w:val="0076693F"/>
    <w:rsid w:val="007774F4"/>
    <w:rsid w:val="00796B41"/>
    <w:rsid w:val="007A2220"/>
    <w:rsid w:val="007B37B8"/>
    <w:rsid w:val="007C41AF"/>
    <w:rsid w:val="007C74C0"/>
    <w:rsid w:val="007D02F2"/>
    <w:rsid w:val="007E4622"/>
    <w:rsid w:val="007E57E2"/>
    <w:rsid w:val="007E5DDC"/>
    <w:rsid w:val="007F58DA"/>
    <w:rsid w:val="008143C3"/>
    <w:rsid w:val="0083069E"/>
    <w:rsid w:val="00830BF0"/>
    <w:rsid w:val="008328FE"/>
    <w:rsid w:val="00862F62"/>
    <w:rsid w:val="00875171"/>
    <w:rsid w:val="00885EB6"/>
    <w:rsid w:val="0089318C"/>
    <w:rsid w:val="00893997"/>
    <w:rsid w:val="0089605C"/>
    <w:rsid w:val="008B5598"/>
    <w:rsid w:val="008C7328"/>
    <w:rsid w:val="008C7A51"/>
    <w:rsid w:val="008D0F43"/>
    <w:rsid w:val="008D4110"/>
    <w:rsid w:val="008D5CCE"/>
    <w:rsid w:val="008D7354"/>
    <w:rsid w:val="008D7F8B"/>
    <w:rsid w:val="008E0C10"/>
    <w:rsid w:val="008E6C76"/>
    <w:rsid w:val="0090388F"/>
    <w:rsid w:val="009103C4"/>
    <w:rsid w:val="009137B6"/>
    <w:rsid w:val="00925908"/>
    <w:rsid w:val="00931708"/>
    <w:rsid w:val="00935D28"/>
    <w:rsid w:val="00940129"/>
    <w:rsid w:val="00945C1A"/>
    <w:rsid w:val="00950645"/>
    <w:rsid w:val="00952631"/>
    <w:rsid w:val="00961C37"/>
    <w:rsid w:val="00965E46"/>
    <w:rsid w:val="00976116"/>
    <w:rsid w:val="00984C47"/>
    <w:rsid w:val="00985BF2"/>
    <w:rsid w:val="00986D36"/>
    <w:rsid w:val="0099002E"/>
    <w:rsid w:val="00990A2B"/>
    <w:rsid w:val="009A2766"/>
    <w:rsid w:val="009A3093"/>
    <w:rsid w:val="009A3DB6"/>
    <w:rsid w:val="009A4077"/>
    <w:rsid w:val="009B39DE"/>
    <w:rsid w:val="009B750D"/>
    <w:rsid w:val="009B7B50"/>
    <w:rsid w:val="009C057F"/>
    <w:rsid w:val="009C3490"/>
    <w:rsid w:val="009C6A58"/>
    <w:rsid w:val="009C7CAA"/>
    <w:rsid w:val="009D1768"/>
    <w:rsid w:val="009D76EE"/>
    <w:rsid w:val="009E2BAC"/>
    <w:rsid w:val="009E5299"/>
    <w:rsid w:val="009F59D8"/>
    <w:rsid w:val="00A00EFF"/>
    <w:rsid w:val="00A0301E"/>
    <w:rsid w:val="00A0629F"/>
    <w:rsid w:val="00A13259"/>
    <w:rsid w:val="00A22378"/>
    <w:rsid w:val="00A227CB"/>
    <w:rsid w:val="00A264A8"/>
    <w:rsid w:val="00A301E9"/>
    <w:rsid w:val="00A35E52"/>
    <w:rsid w:val="00A46D5D"/>
    <w:rsid w:val="00A61270"/>
    <w:rsid w:val="00A62330"/>
    <w:rsid w:val="00A72AD4"/>
    <w:rsid w:val="00A732B6"/>
    <w:rsid w:val="00A756CC"/>
    <w:rsid w:val="00A81C4F"/>
    <w:rsid w:val="00A8601B"/>
    <w:rsid w:val="00A91093"/>
    <w:rsid w:val="00A922DC"/>
    <w:rsid w:val="00A93D36"/>
    <w:rsid w:val="00AA1338"/>
    <w:rsid w:val="00AB05DA"/>
    <w:rsid w:val="00AB1C1C"/>
    <w:rsid w:val="00AB7BCD"/>
    <w:rsid w:val="00AD3011"/>
    <w:rsid w:val="00AD4301"/>
    <w:rsid w:val="00AE01F7"/>
    <w:rsid w:val="00AF7B78"/>
    <w:rsid w:val="00B01150"/>
    <w:rsid w:val="00B03F38"/>
    <w:rsid w:val="00B12D64"/>
    <w:rsid w:val="00B149AF"/>
    <w:rsid w:val="00B159CE"/>
    <w:rsid w:val="00B26A20"/>
    <w:rsid w:val="00B31B30"/>
    <w:rsid w:val="00B31D68"/>
    <w:rsid w:val="00B3320E"/>
    <w:rsid w:val="00B42C2D"/>
    <w:rsid w:val="00B449BE"/>
    <w:rsid w:val="00B63912"/>
    <w:rsid w:val="00B63F39"/>
    <w:rsid w:val="00B64E06"/>
    <w:rsid w:val="00B742EC"/>
    <w:rsid w:val="00B7629A"/>
    <w:rsid w:val="00B87037"/>
    <w:rsid w:val="00B90F7E"/>
    <w:rsid w:val="00B96918"/>
    <w:rsid w:val="00BA1A30"/>
    <w:rsid w:val="00BA4CE3"/>
    <w:rsid w:val="00BB0CC6"/>
    <w:rsid w:val="00BB1D16"/>
    <w:rsid w:val="00BB6D30"/>
    <w:rsid w:val="00BC013B"/>
    <w:rsid w:val="00BC53CE"/>
    <w:rsid w:val="00BC75A7"/>
    <w:rsid w:val="00BC780F"/>
    <w:rsid w:val="00BE7608"/>
    <w:rsid w:val="00BF2284"/>
    <w:rsid w:val="00BF2ABC"/>
    <w:rsid w:val="00BF6682"/>
    <w:rsid w:val="00C06438"/>
    <w:rsid w:val="00C13EB8"/>
    <w:rsid w:val="00C166A3"/>
    <w:rsid w:val="00C166DD"/>
    <w:rsid w:val="00C264CB"/>
    <w:rsid w:val="00C271FA"/>
    <w:rsid w:val="00C354C8"/>
    <w:rsid w:val="00C41735"/>
    <w:rsid w:val="00C45A7C"/>
    <w:rsid w:val="00C45BBF"/>
    <w:rsid w:val="00C5624B"/>
    <w:rsid w:val="00C61C1E"/>
    <w:rsid w:val="00C7063C"/>
    <w:rsid w:val="00C7221D"/>
    <w:rsid w:val="00C746BF"/>
    <w:rsid w:val="00C75306"/>
    <w:rsid w:val="00C81200"/>
    <w:rsid w:val="00C904D8"/>
    <w:rsid w:val="00C91823"/>
    <w:rsid w:val="00C97345"/>
    <w:rsid w:val="00CA0C7A"/>
    <w:rsid w:val="00CA1CC5"/>
    <w:rsid w:val="00CA26AC"/>
    <w:rsid w:val="00CA40B2"/>
    <w:rsid w:val="00CB4577"/>
    <w:rsid w:val="00CB49B6"/>
    <w:rsid w:val="00CC641F"/>
    <w:rsid w:val="00CD093D"/>
    <w:rsid w:val="00CD1E44"/>
    <w:rsid w:val="00CD4A4F"/>
    <w:rsid w:val="00CE274A"/>
    <w:rsid w:val="00CE2F8B"/>
    <w:rsid w:val="00CE7C4F"/>
    <w:rsid w:val="00CF2F0C"/>
    <w:rsid w:val="00D04F09"/>
    <w:rsid w:val="00D0545F"/>
    <w:rsid w:val="00D1204C"/>
    <w:rsid w:val="00D20126"/>
    <w:rsid w:val="00D25729"/>
    <w:rsid w:val="00D30A3F"/>
    <w:rsid w:val="00D310A0"/>
    <w:rsid w:val="00D33FF5"/>
    <w:rsid w:val="00D37073"/>
    <w:rsid w:val="00D374A7"/>
    <w:rsid w:val="00D43596"/>
    <w:rsid w:val="00D43F6D"/>
    <w:rsid w:val="00D44472"/>
    <w:rsid w:val="00D6083D"/>
    <w:rsid w:val="00D62C59"/>
    <w:rsid w:val="00D81365"/>
    <w:rsid w:val="00D819DD"/>
    <w:rsid w:val="00D81DA7"/>
    <w:rsid w:val="00D850D0"/>
    <w:rsid w:val="00D91DB3"/>
    <w:rsid w:val="00D94E53"/>
    <w:rsid w:val="00D9603B"/>
    <w:rsid w:val="00D97503"/>
    <w:rsid w:val="00DA00FF"/>
    <w:rsid w:val="00DB2063"/>
    <w:rsid w:val="00DC632E"/>
    <w:rsid w:val="00DD686B"/>
    <w:rsid w:val="00DE30F2"/>
    <w:rsid w:val="00DE3987"/>
    <w:rsid w:val="00DF104B"/>
    <w:rsid w:val="00E00EC7"/>
    <w:rsid w:val="00E123B8"/>
    <w:rsid w:val="00E12469"/>
    <w:rsid w:val="00E150B0"/>
    <w:rsid w:val="00E20677"/>
    <w:rsid w:val="00E27891"/>
    <w:rsid w:val="00E35D38"/>
    <w:rsid w:val="00E35E5B"/>
    <w:rsid w:val="00E376CB"/>
    <w:rsid w:val="00E40E42"/>
    <w:rsid w:val="00E47E8F"/>
    <w:rsid w:val="00E5705D"/>
    <w:rsid w:val="00E57F60"/>
    <w:rsid w:val="00E72478"/>
    <w:rsid w:val="00E86C71"/>
    <w:rsid w:val="00E86C72"/>
    <w:rsid w:val="00E9074C"/>
    <w:rsid w:val="00E962EB"/>
    <w:rsid w:val="00EA6313"/>
    <w:rsid w:val="00EC654B"/>
    <w:rsid w:val="00EC6B87"/>
    <w:rsid w:val="00ED4122"/>
    <w:rsid w:val="00ED5D34"/>
    <w:rsid w:val="00ED7563"/>
    <w:rsid w:val="00EF1435"/>
    <w:rsid w:val="00F00684"/>
    <w:rsid w:val="00F02EB0"/>
    <w:rsid w:val="00F04B2D"/>
    <w:rsid w:val="00F13149"/>
    <w:rsid w:val="00F21284"/>
    <w:rsid w:val="00F35E5E"/>
    <w:rsid w:val="00F42F8D"/>
    <w:rsid w:val="00F52158"/>
    <w:rsid w:val="00F5675A"/>
    <w:rsid w:val="00F57941"/>
    <w:rsid w:val="00F61AA8"/>
    <w:rsid w:val="00F80B85"/>
    <w:rsid w:val="00F8686F"/>
    <w:rsid w:val="00F87D6D"/>
    <w:rsid w:val="00F96ADD"/>
    <w:rsid w:val="00FA08FB"/>
    <w:rsid w:val="00FA2C7E"/>
    <w:rsid w:val="00FA47AD"/>
    <w:rsid w:val="00FB3846"/>
    <w:rsid w:val="00FC27FB"/>
    <w:rsid w:val="00FD3C8A"/>
    <w:rsid w:val="00FD418C"/>
    <w:rsid w:val="00FD5F07"/>
    <w:rsid w:val="00FE08F5"/>
    <w:rsid w:val="00FE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26A2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A20"/>
    <w:pPr>
      <w:keepNext/>
      <w:suppressAutoHyphens w:val="0"/>
      <w:jc w:val="center"/>
      <w:outlineLvl w:val="0"/>
    </w:pPr>
    <w:rPr>
      <w:b/>
      <w:sz w:val="28"/>
      <w:u w:val="single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1C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1A7E"/>
    <w:rPr>
      <w:rFonts w:cs="Times New Roman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2F0C"/>
    <w:rPr>
      <w:rFonts w:ascii="Cambria" w:hAnsi="Cambria" w:cs="Times New Roman"/>
      <w:b/>
      <w:bCs/>
      <w:sz w:val="26"/>
      <w:szCs w:val="26"/>
      <w:lang w:eastAsia="zh-CN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26A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CD093D"/>
    <w:pPr>
      <w:spacing w:before="280" w:after="280"/>
    </w:pPr>
    <w:rPr>
      <w:color w:val="000000"/>
      <w:lang w:eastAsia="ar-SA"/>
    </w:rPr>
  </w:style>
  <w:style w:type="paragraph" w:styleId="Header">
    <w:name w:val="header"/>
    <w:basedOn w:val="Normal"/>
    <w:link w:val="HeaderChar"/>
    <w:uiPriority w:val="99"/>
    <w:rsid w:val="00CD093D"/>
    <w:pPr>
      <w:tabs>
        <w:tab w:val="center" w:pos="4536"/>
        <w:tab w:val="right" w:pos="9072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53CE"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D0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2F0C"/>
    <w:rPr>
      <w:rFonts w:cs="Times New Roman"/>
      <w:sz w:val="24"/>
      <w:szCs w:val="24"/>
      <w:lang w:eastAsia="zh-CN"/>
    </w:rPr>
  </w:style>
  <w:style w:type="paragraph" w:customStyle="1" w:styleId="Tblzattartalom">
    <w:name w:val="Táblázattartalom"/>
    <w:basedOn w:val="Normal"/>
    <w:uiPriority w:val="99"/>
    <w:rsid w:val="00CD093D"/>
    <w:pPr>
      <w:suppressLineNumbers/>
    </w:pPr>
  </w:style>
  <w:style w:type="paragraph" w:customStyle="1" w:styleId="Szvegtrzs31">
    <w:name w:val="Szövegtörzs 31"/>
    <w:basedOn w:val="Normal"/>
    <w:uiPriority w:val="99"/>
    <w:rsid w:val="00CD093D"/>
    <w:pPr>
      <w:widowControl w:val="0"/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E24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2F0C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3E245F"/>
    <w:rPr>
      <w:rFonts w:cs="Times New Roman"/>
    </w:rPr>
  </w:style>
  <w:style w:type="character" w:styleId="Hyperlink">
    <w:name w:val="Hyperlink"/>
    <w:basedOn w:val="DefaultParagraphFont"/>
    <w:uiPriority w:val="99"/>
    <w:rsid w:val="0023083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E77CF"/>
    <w:rPr>
      <w:rFonts w:cs="Times New Roman"/>
      <w:b/>
    </w:rPr>
  </w:style>
  <w:style w:type="paragraph" w:customStyle="1" w:styleId="NormlWeb1">
    <w:name w:val="Normál (Web)1"/>
    <w:uiPriority w:val="99"/>
    <w:rsid w:val="00A227CB"/>
    <w:pPr>
      <w:widowControl w:val="0"/>
      <w:suppressAutoHyphens/>
    </w:pPr>
    <w:rPr>
      <w:rFonts w:ascii="Calibri" w:hAnsi="Calibri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A227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7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F0C"/>
    <w:rPr>
      <w:rFonts w:cs="Times New Roman"/>
      <w:sz w:val="2"/>
      <w:lang w:eastAsia="zh-CN"/>
    </w:rPr>
  </w:style>
  <w:style w:type="paragraph" w:customStyle="1" w:styleId="cf0agj">
    <w:name w:val="cf0 agj"/>
    <w:basedOn w:val="Normal"/>
    <w:uiPriority w:val="99"/>
    <w:rsid w:val="007774F4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Standard">
    <w:name w:val="Standard"/>
    <w:uiPriority w:val="99"/>
    <w:rsid w:val="00B12D6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B12D64"/>
    <w:pPr>
      <w:suppressLineNumbers/>
    </w:pPr>
  </w:style>
  <w:style w:type="paragraph" w:styleId="Revision">
    <w:name w:val="Revision"/>
    <w:hidden/>
    <w:uiPriority w:val="99"/>
    <w:semiHidden/>
    <w:rsid w:val="001B2875"/>
    <w:rPr>
      <w:sz w:val="24"/>
      <w:szCs w:val="24"/>
      <w:lang w:eastAsia="zh-CN"/>
    </w:rPr>
  </w:style>
  <w:style w:type="paragraph" w:customStyle="1" w:styleId="CharChar1CharCharCharCharCharCharChar">
    <w:name w:val="Char Char1 Char Char Char Char Char Char Char"/>
    <w:basedOn w:val="Normal"/>
    <w:uiPriority w:val="99"/>
    <w:rsid w:val="00CC641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007F6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1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15</Pages>
  <Words>4692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OEM</dc:creator>
  <cp:keywords/>
  <dc:description/>
  <cp:lastModifiedBy>TI</cp:lastModifiedBy>
  <cp:revision>4</cp:revision>
  <cp:lastPrinted>2020-05-29T08:34:00Z</cp:lastPrinted>
  <dcterms:created xsi:type="dcterms:W3CDTF">2020-05-29T08:42:00Z</dcterms:created>
  <dcterms:modified xsi:type="dcterms:W3CDTF">2020-05-29T08:45:00Z</dcterms:modified>
</cp:coreProperties>
</file>