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rsidP="00826B7C">
      <w:pPr>
        <w:spacing w:before="230"/>
        <w:jc w:val="center"/>
        <w:rPr>
          <w:rFonts w:ascii="Times New Roman" w:hAnsi="Times New Roman" w:cs="Times New Roman"/>
          <w:sz w:val="32"/>
          <w:szCs w:val="24"/>
        </w:rPr>
      </w:pPr>
      <w:bookmarkStart w:id="0" w:name="helyi_járat_2014_I_félévi_támogatása_01_"/>
      <w:bookmarkStart w:id="1" w:name="E_L_Ő_T_E_R_J_E_S_Z_T_É_S"/>
      <w:bookmarkEnd w:id="0"/>
      <w:bookmarkEnd w:id="1"/>
      <w:r w:rsidRPr="00E00105">
        <w:rPr>
          <w:rFonts w:ascii="Times New Roman" w:hAnsi="Times New Roman" w:cs="Times New Roman"/>
          <w:b/>
          <w:bCs/>
          <w:sz w:val="32"/>
          <w:szCs w:val="24"/>
          <w:u w:val="thick" w:color="000000"/>
        </w:rPr>
        <w:t>E</w:t>
      </w:r>
      <w:r w:rsidRPr="00E00105">
        <w:rPr>
          <w:rFonts w:ascii="Times New Roman" w:hAnsi="Times New Roman" w:cs="Times New Roman"/>
          <w:b/>
          <w:bCs/>
          <w:spacing w:val="-3"/>
          <w:sz w:val="32"/>
          <w:szCs w:val="24"/>
          <w:u w:val="thick" w:color="000000"/>
        </w:rPr>
        <w:t xml:space="preserve"> </w:t>
      </w:r>
      <w:r w:rsidRPr="00E00105">
        <w:rPr>
          <w:rFonts w:ascii="Times New Roman" w:hAnsi="Times New Roman" w:cs="Times New Roman"/>
          <w:b/>
          <w:bCs/>
          <w:sz w:val="32"/>
          <w:szCs w:val="24"/>
          <w:u w:val="thick" w:color="000000"/>
        </w:rPr>
        <w:t>L</w:t>
      </w:r>
      <w:r w:rsidRPr="00E00105">
        <w:rPr>
          <w:rFonts w:ascii="Times New Roman" w:hAnsi="Times New Roman" w:cs="Times New Roman"/>
          <w:b/>
          <w:bCs/>
          <w:spacing w:val="-3"/>
          <w:sz w:val="32"/>
          <w:szCs w:val="24"/>
          <w:u w:val="thick" w:color="000000"/>
        </w:rPr>
        <w:t xml:space="preserve"> </w:t>
      </w:r>
      <w:r w:rsidRPr="00E00105">
        <w:rPr>
          <w:rFonts w:ascii="Times New Roman" w:hAnsi="Times New Roman" w:cs="Times New Roman"/>
          <w:b/>
          <w:bCs/>
          <w:sz w:val="32"/>
          <w:szCs w:val="24"/>
          <w:u w:val="thick" w:color="000000"/>
        </w:rPr>
        <w:t>Ő</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T</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E</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R</w:t>
      </w:r>
      <w:r w:rsidRPr="00E00105">
        <w:rPr>
          <w:rFonts w:ascii="Times New Roman" w:hAnsi="Times New Roman" w:cs="Times New Roman"/>
          <w:b/>
          <w:bCs/>
          <w:spacing w:val="-1"/>
          <w:sz w:val="32"/>
          <w:szCs w:val="24"/>
          <w:u w:val="thick" w:color="000000"/>
        </w:rPr>
        <w:t xml:space="preserve"> </w:t>
      </w:r>
      <w:r w:rsidRPr="00E00105">
        <w:rPr>
          <w:rFonts w:ascii="Times New Roman" w:hAnsi="Times New Roman" w:cs="Times New Roman"/>
          <w:b/>
          <w:bCs/>
          <w:sz w:val="32"/>
          <w:szCs w:val="24"/>
          <w:u w:val="thick" w:color="000000"/>
        </w:rPr>
        <w:t>J</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E</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S</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Z</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T</w:t>
      </w:r>
      <w:r w:rsidRPr="00E00105">
        <w:rPr>
          <w:rFonts w:ascii="Times New Roman" w:hAnsi="Times New Roman" w:cs="Times New Roman"/>
          <w:b/>
          <w:bCs/>
          <w:spacing w:val="-2"/>
          <w:sz w:val="32"/>
          <w:szCs w:val="24"/>
          <w:u w:val="thick" w:color="000000"/>
        </w:rPr>
        <w:t xml:space="preserve"> </w:t>
      </w:r>
      <w:r w:rsidRPr="00E00105">
        <w:rPr>
          <w:rFonts w:ascii="Times New Roman" w:hAnsi="Times New Roman" w:cs="Times New Roman"/>
          <w:b/>
          <w:bCs/>
          <w:sz w:val="32"/>
          <w:szCs w:val="24"/>
          <w:u w:val="thick" w:color="000000"/>
        </w:rPr>
        <w:t>É</w:t>
      </w:r>
      <w:r w:rsidRPr="00E00105">
        <w:rPr>
          <w:rFonts w:ascii="Times New Roman" w:hAnsi="Times New Roman" w:cs="Times New Roman"/>
          <w:b/>
          <w:bCs/>
          <w:spacing w:val="-1"/>
          <w:sz w:val="32"/>
          <w:szCs w:val="24"/>
          <w:u w:val="thick" w:color="000000"/>
        </w:rPr>
        <w:t xml:space="preserve"> </w:t>
      </w:r>
      <w:r w:rsidRPr="00E00105">
        <w:rPr>
          <w:rFonts w:ascii="Times New Roman" w:hAnsi="Times New Roman" w:cs="Times New Roman"/>
          <w:b/>
          <w:bCs/>
          <w:sz w:val="32"/>
          <w:szCs w:val="24"/>
          <w:u w:val="thick" w:color="000000"/>
        </w:rPr>
        <w:t>S</w:t>
      </w:r>
    </w:p>
    <w:p w:rsidR="00B67BF8" w:rsidRPr="00E00105" w:rsidRDefault="00B67BF8">
      <w:pPr>
        <w:rPr>
          <w:rFonts w:ascii="Times New Roman" w:hAnsi="Times New Roman" w:cs="Times New Roman"/>
          <w:b/>
          <w:bCs/>
          <w:sz w:val="24"/>
          <w:szCs w:val="24"/>
        </w:rPr>
      </w:pPr>
    </w:p>
    <w:p w:rsidR="00B67BF8" w:rsidRPr="00E00105" w:rsidRDefault="00B67BF8">
      <w:pPr>
        <w:spacing w:before="7"/>
        <w:rPr>
          <w:rFonts w:ascii="Times New Roman" w:hAnsi="Times New Roman" w:cs="Times New Roman"/>
          <w:b/>
          <w:bCs/>
          <w:sz w:val="24"/>
          <w:szCs w:val="24"/>
        </w:rPr>
      </w:pPr>
    </w:p>
    <w:p w:rsidR="00B67BF8" w:rsidRPr="00E00105" w:rsidRDefault="00B67BF8" w:rsidP="00EE25B5">
      <w:pPr>
        <w:spacing w:before="11"/>
        <w:jc w:val="center"/>
        <w:rPr>
          <w:rFonts w:ascii="Times New Roman" w:hAnsi="Times New Roman" w:cs="Times New Roman"/>
          <w:b/>
          <w:bCs/>
          <w:sz w:val="24"/>
          <w:szCs w:val="24"/>
        </w:rPr>
      </w:pPr>
      <w:r w:rsidRPr="00E00105">
        <w:rPr>
          <w:rFonts w:ascii="Times New Roman" w:hAnsi="Times New Roman" w:cs="Times New Roman"/>
          <w:b/>
          <w:bCs/>
          <w:sz w:val="24"/>
          <w:szCs w:val="24"/>
        </w:rPr>
        <w:t>Borzavár Községi Önkormányzat Képviselő-testülete</w:t>
      </w:r>
    </w:p>
    <w:p w:rsidR="00B67BF8" w:rsidRPr="00E00105" w:rsidRDefault="00B67BF8">
      <w:pPr>
        <w:pStyle w:val="Heading2"/>
        <w:ind w:left="1713" w:right="1924"/>
        <w:jc w:val="center"/>
        <w:rPr>
          <w:u w:val="none"/>
        </w:rPr>
      </w:pPr>
    </w:p>
    <w:p w:rsidR="00B67BF8" w:rsidRPr="00E00105" w:rsidRDefault="00B67BF8">
      <w:pPr>
        <w:pStyle w:val="Heading2"/>
        <w:ind w:left="1713" w:right="1924"/>
        <w:jc w:val="center"/>
        <w:rPr>
          <w:u w:val="none"/>
        </w:rPr>
      </w:pPr>
      <w:bookmarkStart w:id="2" w:name="_Toc4484462"/>
      <w:r w:rsidRPr="00E00105">
        <w:rPr>
          <w:u w:val="none"/>
        </w:rPr>
        <w:t>2019.</w:t>
      </w:r>
      <w:r w:rsidRPr="00E00105">
        <w:rPr>
          <w:spacing w:val="-9"/>
          <w:u w:val="none"/>
        </w:rPr>
        <w:t xml:space="preserve"> </w:t>
      </w:r>
      <w:r w:rsidRPr="00E00105">
        <w:rPr>
          <w:spacing w:val="-1"/>
          <w:u w:val="none"/>
        </w:rPr>
        <w:t>március 27-i ülésére</w:t>
      </w:r>
      <w:bookmarkEnd w:id="2"/>
    </w:p>
    <w:p w:rsidR="00B67BF8" w:rsidRPr="00E00105" w:rsidRDefault="00B67BF8">
      <w:pPr>
        <w:pStyle w:val="Heading2"/>
        <w:ind w:left="1713" w:right="1924"/>
        <w:jc w:val="center"/>
        <w:rPr>
          <w:u w:val="none"/>
        </w:rPr>
      </w:pPr>
    </w:p>
    <w:p w:rsidR="00B67BF8" w:rsidRPr="00E00105" w:rsidRDefault="00B67BF8">
      <w:pPr>
        <w:rPr>
          <w:rFonts w:ascii="Times New Roman" w:hAnsi="Times New Roman" w:cs="Times New Roman"/>
          <w:b/>
          <w:bCs/>
          <w:sz w:val="24"/>
          <w:szCs w:val="24"/>
        </w:rPr>
      </w:pPr>
    </w:p>
    <w:p w:rsidR="00B67BF8" w:rsidRPr="00E00105" w:rsidRDefault="00B67BF8">
      <w:pPr>
        <w:rPr>
          <w:rFonts w:ascii="Times New Roman" w:hAnsi="Times New Roman" w:cs="Times New Roman"/>
          <w:b/>
          <w:bCs/>
          <w:sz w:val="24"/>
          <w:szCs w:val="24"/>
        </w:rPr>
      </w:pPr>
    </w:p>
    <w:p w:rsidR="00B67BF8" w:rsidRPr="00E00105" w:rsidRDefault="00B67BF8">
      <w:pPr>
        <w:rPr>
          <w:rFonts w:ascii="Times New Roman" w:hAnsi="Times New Roman" w:cs="Times New Roman"/>
          <w:b/>
          <w:bCs/>
          <w:sz w:val="24"/>
          <w:szCs w:val="24"/>
        </w:rPr>
      </w:pPr>
    </w:p>
    <w:p w:rsidR="00B67BF8" w:rsidRPr="00E00105" w:rsidRDefault="00B67BF8">
      <w:pPr>
        <w:rPr>
          <w:rFonts w:ascii="Times New Roman" w:hAnsi="Times New Roman" w:cs="Times New Roman"/>
          <w:b/>
          <w:bCs/>
          <w:sz w:val="24"/>
          <w:szCs w:val="24"/>
        </w:rPr>
      </w:pPr>
    </w:p>
    <w:p w:rsidR="00B67BF8" w:rsidRPr="00E00105" w:rsidRDefault="00B67BF8">
      <w:pPr>
        <w:spacing w:before="9"/>
        <w:rPr>
          <w:rFonts w:ascii="Times New Roman" w:hAnsi="Times New Roman" w:cs="Times New Roman"/>
          <w:b/>
          <w:bCs/>
          <w:sz w:val="24"/>
          <w:szCs w:val="24"/>
        </w:rPr>
      </w:pPr>
    </w:p>
    <w:p w:rsidR="00B67BF8" w:rsidRPr="00E00105" w:rsidRDefault="00B67BF8" w:rsidP="00B6769D">
      <w:pPr>
        <w:spacing w:line="276" w:lineRule="auto"/>
        <w:ind w:left="810" w:hanging="710"/>
        <w:jc w:val="both"/>
        <w:rPr>
          <w:rFonts w:ascii="Times New Roman" w:hAnsi="Times New Roman" w:cs="Times New Roman"/>
          <w:spacing w:val="-1"/>
          <w:sz w:val="24"/>
          <w:szCs w:val="24"/>
        </w:rPr>
      </w:pPr>
      <w:r w:rsidRPr="00E00105">
        <w:rPr>
          <w:rFonts w:ascii="Times New Roman" w:hAnsi="Times New Roman" w:cs="Times New Roman"/>
          <w:spacing w:val="-1"/>
          <w:sz w:val="24"/>
          <w:szCs w:val="24"/>
          <w:u w:val="single" w:color="000000"/>
        </w:rPr>
        <w:t>Tárgy</w:t>
      </w:r>
      <w:r w:rsidRPr="00E00105">
        <w:rPr>
          <w:rFonts w:ascii="Times New Roman" w:hAnsi="Times New Roman" w:cs="Times New Roman"/>
          <w:spacing w:val="-1"/>
          <w:sz w:val="24"/>
          <w:szCs w:val="24"/>
        </w:rPr>
        <w:t>: Tervező megbízása a Magyar Falu Program keretében meghirdetett „A nemzeti és helyi identitástudat erősítése” felhívásra benyújtandó pályázat előkészítésére</w:t>
      </w:r>
    </w:p>
    <w:p w:rsidR="00B67BF8" w:rsidRPr="00E00105" w:rsidRDefault="00B67BF8">
      <w:pPr>
        <w:spacing w:before="7"/>
        <w:rPr>
          <w:rFonts w:ascii="Times New Roman" w:hAnsi="Times New Roman" w:cs="Times New Roman"/>
          <w:b/>
          <w:bCs/>
          <w:sz w:val="24"/>
          <w:szCs w:val="24"/>
        </w:rPr>
      </w:pPr>
    </w:p>
    <w:p w:rsidR="00B67BF8" w:rsidRPr="00E00105" w:rsidRDefault="00B67BF8" w:rsidP="00F301D8">
      <w:pPr>
        <w:pStyle w:val="BodyText"/>
        <w:tabs>
          <w:tab w:val="left" w:pos="4678"/>
          <w:tab w:val="left" w:pos="9210"/>
        </w:tabs>
        <w:spacing w:line="479" w:lineRule="auto"/>
        <w:ind w:right="-4"/>
        <w:rPr>
          <w:spacing w:val="-1"/>
        </w:rPr>
      </w:pPr>
      <w:r w:rsidRPr="00E00105">
        <w:rPr>
          <w:spacing w:val="-1"/>
          <w:u w:val="single" w:color="000000"/>
        </w:rPr>
        <w:t>Előadó</w:t>
      </w:r>
      <w:r w:rsidRPr="00E00105">
        <w:rPr>
          <w:spacing w:val="-1"/>
        </w:rPr>
        <w:t>:</w:t>
      </w:r>
      <w:r w:rsidRPr="00E00105">
        <w:rPr>
          <w:spacing w:val="-9"/>
        </w:rPr>
        <w:t xml:space="preserve"> </w:t>
      </w:r>
      <w:r w:rsidRPr="00E00105">
        <w:t>Dócziné Belecz Ágnes polgármester</w:t>
      </w:r>
    </w:p>
    <w:p w:rsidR="00B67BF8" w:rsidRPr="00E00105" w:rsidRDefault="00B67BF8">
      <w:pPr>
        <w:pStyle w:val="BodyText"/>
        <w:spacing w:line="479" w:lineRule="auto"/>
        <w:ind w:right="4853"/>
      </w:pPr>
      <w:r w:rsidRPr="00E00105">
        <w:rPr>
          <w:spacing w:val="-1"/>
          <w:u w:val="single" w:color="000000"/>
        </w:rPr>
        <w:t>Előterjesztés</w:t>
      </w:r>
      <w:r w:rsidRPr="00E00105">
        <w:rPr>
          <w:spacing w:val="-14"/>
          <w:u w:val="single" w:color="000000"/>
        </w:rPr>
        <w:t xml:space="preserve"> </w:t>
      </w:r>
      <w:r w:rsidRPr="00E00105">
        <w:rPr>
          <w:spacing w:val="-1"/>
          <w:u w:val="single" w:color="000000"/>
        </w:rPr>
        <w:t>tartalma</w:t>
      </w:r>
      <w:r w:rsidRPr="00E00105">
        <w:rPr>
          <w:spacing w:val="-1"/>
        </w:rPr>
        <w:t>:</w:t>
      </w:r>
      <w:r w:rsidRPr="00E00105">
        <w:rPr>
          <w:spacing w:val="-14"/>
        </w:rPr>
        <w:t xml:space="preserve"> </w:t>
      </w:r>
      <w:r w:rsidRPr="00E00105">
        <w:rPr>
          <w:spacing w:val="-1"/>
        </w:rPr>
        <w:t>határozati</w:t>
      </w:r>
      <w:r w:rsidRPr="00E00105">
        <w:rPr>
          <w:spacing w:val="-13"/>
        </w:rPr>
        <w:t xml:space="preserve"> </w:t>
      </w:r>
      <w:r w:rsidRPr="00E00105">
        <w:rPr>
          <w:spacing w:val="-1"/>
        </w:rPr>
        <w:t>javaslat</w:t>
      </w:r>
      <w:r w:rsidRPr="00E00105">
        <w:rPr>
          <w:spacing w:val="67"/>
          <w:w w:val="99"/>
        </w:rPr>
        <w:t xml:space="preserve"> </w:t>
      </w:r>
      <w:r w:rsidRPr="00E00105">
        <w:rPr>
          <w:u w:val="single" w:color="000000"/>
        </w:rPr>
        <w:t>Szavazás</w:t>
      </w:r>
      <w:r w:rsidRPr="00E00105">
        <w:rPr>
          <w:spacing w:val="-11"/>
          <w:u w:val="single" w:color="000000"/>
        </w:rPr>
        <w:t xml:space="preserve"> </w:t>
      </w:r>
      <w:r w:rsidRPr="00E00105">
        <w:rPr>
          <w:spacing w:val="-1"/>
          <w:u w:val="single" w:color="000000"/>
        </w:rPr>
        <w:t>módja</w:t>
      </w:r>
      <w:r w:rsidRPr="00E00105">
        <w:rPr>
          <w:spacing w:val="-1"/>
        </w:rPr>
        <w:t>:</w:t>
      </w:r>
      <w:r w:rsidRPr="00E00105">
        <w:rPr>
          <w:spacing w:val="-10"/>
        </w:rPr>
        <w:t xml:space="preserve"> </w:t>
      </w:r>
      <w:r w:rsidRPr="00E00105">
        <w:rPr>
          <w:spacing w:val="-1"/>
        </w:rPr>
        <w:t>egyszerű</w:t>
      </w:r>
      <w:r w:rsidRPr="00E00105">
        <w:rPr>
          <w:spacing w:val="-10"/>
        </w:rPr>
        <w:t xml:space="preserve"> </w:t>
      </w:r>
      <w:r w:rsidRPr="00E00105">
        <w:t>többség</w:t>
      </w:r>
    </w:p>
    <w:p w:rsidR="00B67BF8" w:rsidRPr="00E00105" w:rsidRDefault="00B67BF8">
      <w:pPr>
        <w:pStyle w:val="BodyText"/>
        <w:spacing w:before="10"/>
      </w:pPr>
      <w:r w:rsidRPr="00E00105">
        <w:rPr>
          <w:u w:val="single" w:color="000000"/>
        </w:rPr>
        <w:t>Az</w:t>
      </w:r>
      <w:r w:rsidRPr="00E00105">
        <w:rPr>
          <w:spacing w:val="-9"/>
          <w:u w:val="single" w:color="000000"/>
        </w:rPr>
        <w:t xml:space="preserve"> </w:t>
      </w:r>
      <w:r w:rsidRPr="00E00105">
        <w:rPr>
          <w:spacing w:val="-1"/>
          <w:u w:val="single" w:color="000000"/>
        </w:rPr>
        <w:t>előterjesztés</w:t>
      </w:r>
      <w:r w:rsidRPr="00E00105">
        <w:rPr>
          <w:spacing w:val="-9"/>
          <w:u w:val="single" w:color="000000"/>
        </w:rPr>
        <w:t xml:space="preserve"> </w:t>
      </w:r>
      <w:r w:rsidRPr="00E00105">
        <w:rPr>
          <w:u w:val="single" w:color="000000"/>
        </w:rPr>
        <w:t>előkészítésében</w:t>
      </w:r>
      <w:r w:rsidRPr="00E00105">
        <w:rPr>
          <w:spacing w:val="-10"/>
          <w:u w:val="single" w:color="000000"/>
        </w:rPr>
        <w:t xml:space="preserve"> </w:t>
      </w:r>
      <w:r w:rsidRPr="00E00105">
        <w:rPr>
          <w:u w:val="single" w:color="000000"/>
        </w:rPr>
        <w:t>részt</w:t>
      </w:r>
      <w:r w:rsidRPr="00E00105">
        <w:rPr>
          <w:spacing w:val="-9"/>
          <w:u w:val="single" w:color="000000"/>
        </w:rPr>
        <w:t xml:space="preserve"> </w:t>
      </w:r>
      <w:r w:rsidRPr="00E00105">
        <w:rPr>
          <w:u w:val="single" w:color="000000"/>
        </w:rPr>
        <w:t>vett:</w:t>
      </w:r>
      <w:r w:rsidRPr="00E00105">
        <w:rPr>
          <w:spacing w:val="-10"/>
          <w:u w:val="single" w:color="000000"/>
        </w:rPr>
        <w:t xml:space="preserve"> </w:t>
      </w:r>
      <w:r w:rsidRPr="00E00105">
        <w:t>-</w:t>
      </w:r>
    </w:p>
    <w:p w:rsidR="00B67BF8" w:rsidRPr="00E00105" w:rsidRDefault="00B67BF8">
      <w:pPr>
        <w:rPr>
          <w:rFonts w:ascii="Times New Roman" w:hAnsi="Times New Roman" w:cs="Times New Roman"/>
          <w:sz w:val="24"/>
          <w:szCs w:val="24"/>
        </w:rPr>
      </w:pPr>
    </w:p>
    <w:p w:rsidR="00B67BF8" w:rsidRPr="00E00105" w:rsidRDefault="00B67BF8" w:rsidP="00EE25B5">
      <w:pPr>
        <w:pStyle w:val="BodyText"/>
        <w:ind w:left="4840" w:hanging="4739"/>
      </w:pPr>
      <w:r w:rsidRPr="00E00105">
        <w:rPr>
          <w:u w:val="single" w:color="000000"/>
        </w:rPr>
        <w:t>Az</w:t>
      </w:r>
      <w:r w:rsidRPr="00E00105">
        <w:rPr>
          <w:spacing w:val="-10"/>
          <w:u w:val="single" w:color="000000"/>
        </w:rPr>
        <w:t xml:space="preserve"> </w:t>
      </w:r>
      <w:r w:rsidRPr="00E00105">
        <w:rPr>
          <w:spacing w:val="-1"/>
          <w:u w:val="single" w:color="000000"/>
        </w:rPr>
        <w:t>előterjesztés</w:t>
      </w:r>
      <w:r w:rsidRPr="00E00105">
        <w:rPr>
          <w:spacing w:val="-9"/>
          <w:u w:val="single" w:color="000000"/>
        </w:rPr>
        <w:t xml:space="preserve"> </w:t>
      </w:r>
      <w:r w:rsidRPr="00E00105">
        <w:rPr>
          <w:u w:val="single" w:color="000000"/>
        </w:rPr>
        <w:t>előkészítésében</w:t>
      </w:r>
      <w:r w:rsidRPr="00E00105">
        <w:rPr>
          <w:spacing w:val="-9"/>
          <w:u w:val="single" w:color="000000"/>
        </w:rPr>
        <w:t xml:space="preserve"> </w:t>
      </w:r>
      <w:r w:rsidRPr="00E00105">
        <w:rPr>
          <w:spacing w:val="-1"/>
          <w:u w:val="single" w:color="000000"/>
        </w:rPr>
        <w:t>közreműködnek</w:t>
      </w:r>
      <w:r w:rsidRPr="00E00105">
        <w:rPr>
          <w:spacing w:val="-1"/>
        </w:rPr>
        <w:t>:</w:t>
      </w:r>
      <w:r w:rsidRPr="00E00105">
        <w:rPr>
          <w:spacing w:val="-9"/>
        </w:rPr>
        <w:t xml:space="preserve"> </w:t>
      </w:r>
      <w:r w:rsidRPr="00E00105">
        <w:rPr>
          <w:spacing w:val="-1"/>
        </w:rPr>
        <w:t>Városüzemeltetési Osztály</w:t>
      </w: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pStyle w:val="BodyText"/>
        <w:ind w:left="752" w:right="1925"/>
        <w:jc w:val="center"/>
      </w:pPr>
      <w:r w:rsidRPr="00E00105">
        <w:rPr>
          <w:spacing w:val="-1"/>
        </w:rPr>
        <w:t>Láttam:</w:t>
      </w: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rPr>
          <w:rFonts w:ascii="Times New Roman" w:hAnsi="Times New Roman" w:cs="Times New Roman"/>
          <w:sz w:val="24"/>
          <w:szCs w:val="24"/>
        </w:rPr>
      </w:pPr>
    </w:p>
    <w:p w:rsidR="00B67BF8" w:rsidRPr="00E00105" w:rsidRDefault="00B67BF8">
      <w:pPr>
        <w:pStyle w:val="BodyText"/>
        <w:ind w:left="3850"/>
        <w:jc w:val="center"/>
      </w:pPr>
      <w:r w:rsidRPr="00E00105">
        <w:t>.................................................</w:t>
      </w:r>
    </w:p>
    <w:p w:rsidR="00B67BF8" w:rsidRPr="00E00105" w:rsidRDefault="00B67BF8">
      <w:pPr>
        <w:pStyle w:val="BodyText"/>
        <w:ind w:left="5777" w:right="2084"/>
        <w:jc w:val="center"/>
      </w:pPr>
      <w:r w:rsidRPr="00E00105">
        <w:t>Sümegi</w:t>
      </w:r>
      <w:r w:rsidRPr="00E00105">
        <w:rPr>
          <w:spacing w:val="-13"/>
        </w:rPr>
        <w:t xml:space="preserve"> </w:t>
      </w:r>
      <w:r w:rsidRPr="00E00105">
        <w:t>Attila</w:t>
      </w:r>
      <w:r w:rsidRPr="00E00105">
        <w:rPr>
          <w:w w:val="99"/>
        </w:rPr>
        <w:t xml:space="preserve"> </w:t>
      </w:r>
      <w:r w:rsidRPr="00E00105">
        <w:t>jegyző</w:t>
      </w:r>
    </w:p>
    <w:p w:rsidR="00B67BF8" w:rsidRPr="00E00105" w:rsidRDefault="00B67BF8">
      <w:pPr>
        <w:jc w:val="center"/>
        <w:rPr>
          <w:rFonts w:ascii="Times New Roman" w:hAnsi="Times New Roman" w:cs="Times New Roman"/>
          <w:sz w:val="24"/>
          <w:szCs w:val="24"/>
        </w:rPr>
        <w:sectPr w:rsidR="00B67BF8" w:rsidRPr="00E00105" w:rsidSect="009D013A">
          <w:type w:val="continuous"/>
          <w:pgSz w:w="11910" w:h="16840"/>
          <w:pgMar w:top="1600" w:right="1100" w:bottom="1843" w:left="1600" w:header="708" w:footer="708" w:gutter="0"/>
          <w:cols w:space="708"/>
        </w:sectPr>
      </w:pPr>
    </w:p>
    <w:p w:rsidR="00B67BF8" w:rsidRPr="00E00105" w:rsidRDefault="00B67BF8" w:rsidP="00CB1D02">
      <w:pPr>
        <w:pStyle w:val="Heading1"/>
        <w:ind w:left="0"/>
        <w:jc w:val="both"/>
        <w:rPr>
          <w:b w:val="0"/>
          <w:bCs w:val="0"/>
          <w:sz w:val="24"/>
          <w:szCs w:val="24"/>
        </w:rPr>
      </w:pPr>
      <w:bookmarkStart w:id="3" w:name="_Toc4484463"/>
      <w:r w:rsidRPr="00E00105">
        <w:rPr>
          <w:spacing w:val="-1"/>
          <w:sz w:val="24"/>
          <w:szCs w:val="24"/>
        </w:rPr>
        <w:t>Tisztelt</w:t>
      </w:r>
      <w:r w:rsidRPr="00E00105">
        <w:rPr>
          <w:spacing w:val="-33"/>
          <w:sz w:val="24"/>
          <w:szCs w:val="24"/>
        </w:rPr>
        <w:t xml:space="preserve"> </w:t>
      </w:r>
      <w:r w:rsidRPr="00E00105">
        <w:rPr>
          <w:spacing w:val="-1"/>
          <w:sz w:val="24"/>
          <w:szCs w:val="24"/>
        </w:rPr>
        <w:t>Képviselő-testület!</w:t>
      </w:r>
      <w:bookmarkEnd w:id="3"/>
    </w:p>
    <w:p w:rsidR="00B67BF8" w:rsidRPr="00E00105" w:rsidRDefault="00B67BF8" w:rsidP="00F870FF">
      <w:pPr>
        <w:pStyle w:val="BodyText"/>
        <w:tabs>
          <w:tab w:val="left" w:pos="8931"/>
        </w:tabs>
        <w:spacing w:line="276" w:lineRule="auto"/>
        <w:ind w:left="0" w:right="-62"/>
        <w:jc w:val="both"/>
      </w:pPr>
    </w:p>
    <w:p w:rsidR="00B67BF8" w:rsidRPr="00E00105" w:rsidRDefault="00B67BF8" w:rsidP="00F870FF">
      <w:pPr>
        <w:pStyle w:val="BodyText"/>
        <w:tabs>
          <w:tab w:val="left" w:pos="8931"/>
        </w:tabs>
        <w:spacing w:line="276" w:lineRule="auto"/>
        <w:ind w:left="0" w:right="-62"/>
        <w:jc w:val="both"/>
      </w:pPr>
    </w:p>
    <w:p w:rsidR="00B67BF8" w:rsidRPr="00E00105" w:rsidRDefault="00B67BF8" w:rsidP="00D06174">
      <w:pPr>
        <w:pStyle w:val="BodyText"/>
        <w:tabs>
          <w:tab w:val="left" w:pos="8931"/>
        </w:tabs>
        <w:spacing w:line="276" w:lineRule="auto"/>
        <w:ind w:left="0" w:right="-62"/>
        <w:jc w:val="both"/>
      </w:pPr>
      <w:r w:rsidRPr="00E00105">
        <w:t>2019. február hónapban meghirdetésre került a Magyar Falu Program első kettő pályázati felhívása, melyek közül „A nemzeti és helyi identitástudat erősítése” című (MFP-NHI/2019) alprogram biztosít lehetőséget a települési közösségi terek megújítására. Ennek részeként lehetőség van:</w:t>
      </w:r>
    </w:p>
    <w:p w:rsidR="00B67BF8" w:rsidRPr="00E00105" w:rsidRDefault="00B67BF8" w:rsidP="00D06174">
      <w:pPr>
        <w:pStyle w:val="BodyText"/>
        <w:tabs>
          <w:tab w:val="left" w:pos="8931"/>
        </w:tabs>
        <w:spacing w:line="276" w:lineRule="auto"/>
        <w:ind w:left="0" w:right="-62"/>
        <w:jc w:val="both"/>
      </w:pPr>
      <w:r w:rsidRPr="00E00105">
        <w:t>a) meglévő, közösségi és kulturális építmények külső és belső tereinek felújítására, bővítésére, korszerűsítésére (maximum 15 millió Ft támogatás)</w:t>
      </w:r>
    </w:p>
    <w:p w:rsidR="00B67BF8" w:rsidRPr="00E00105" w:rsidRDefault="00B67BF8" w:rsidP="00D06174">
      <w:pPr>
        <w:pStyle w:val="BodyText"/>
        <w:tabs>
          <w:tab w:val="left" w:pos="8931"/>
        </w:tabs>
        <w:spacing w:line="276" w:lineRule="auto"/>
        <w:ind w:left="0" w:right="-62"/>
        <w:jc w:val="both"/>
      </w:pPr>
      <w:r w:rsidRPr="00E00105">
        <w:t>b) a közösségi célú helyiségekben megvalósuló programok szervezésére, ehhez kapcsolódó eszközbeszerzésre, működési költségekre (maximum 5 millió Ft támogatás)</w:t>
      </w:r>
    </w:p>
    <w:p w:rsidR="00B67BF8" w:rsidRPr="00E00105" w:rsidRDefault="00B67BF8" w:rsidP="00D06174">
      <w:pPr>
        <w:pStyle w:val="BodyText"/>
        <w:tabs>
          <w:tab w:val="left" w:pos="8931"/>
        </w:tabs>
        <w:spacing w:line="276" w:lineRule="auto"/>
        <w:ind w:left="0" w:right="-62"/>
        <w:jc w:val="both"/>
      </w:pPr>
      <w:r w:rsidRPr="00E00105">
        <w:t>c) közösségszervező alkalmazott foglalkoztatására (maximum minimálbérnek megfelelő támogatás)</w:t>
      </w:r>
    </w:p>
    <w:p w:rsidR="00B67BF8" w:rsidRPr="00E00105" w:rsidRDefault="00B67BF8" w:rsidP="00D06174">
      <w:pPr>
        <w:pStyle w:val="BodyText"/>
        <w:tabs>
          <w:tab w:val="left" w:pos="8931"/>
        </w:tabs>
        <w:spacing w:line="276" w:lineRule="auto"/>
        <w:ind w:left="0" w:right="-62"/>
        <w:jc w:val="both"/>
      </w:pPr>
    </w:p>
    <w:p w:rsidR="00B67BF8" w:rsidRPr="00E00105" w:rsidRDefault="00B67BF8" w:rsidP="00D06174">
      <w:pPr>
        <w:pStyle w:val="BodyText"/>
        <w:tabs>
          <w:tab w:val="left" w:pos="8931"/>
        </w:tabs>
        <w:spacing w:line="276" w:lineRule="auto"/>
        <w:ind w:left="0" w:right="-62"/>
        <w:jc w:val="both"/>
      </w:pPr>
      <w:r w:rsidRPr="00E00105">
        <w:t xml:space="preserve">Az a) alcél szerinti tevékenység vonatkozásában a közösségi ház felújítását, korszerűsítését tervezzük megvalósítani: a vonatkozó szabályok szerint két fő tevékenység megvalósítása kötelező: egyrészről az akadálymentesítés, másrészről az energetikai felújítás szükséges a vonatkozó jogszabályok szerint. </w:t>
      </w:r>
    </w:p>
    <w:p w:rsidR="00B67BF8" w:rsidRPr="00E00105" w:rsidRDefault="00B67BF8" w:rsidP="00D06174">
      <w:pPr>
        <w:pStyle w:val="BodyText"/>
        <w:tabs>
          <w:tab w:val="left" w:pos="8931"/>
        </w:tabs>
        <w:spacing w:line="276" w:lineRule="auto"/>
        <w:ind w:left="0" w:right="-62"/>
        <w:jc w:val="both"/>
      </w:pPr>
      <w:r w:rsidRPr="00E00105">
        <w:t xml:space="preserve">Előzetes felmérés alapján a tetőhéjazat cseréjét, födém és homlokzat hőszigetelést, szükség esetén nyílászárók cseréjét, továbbá lehetőség szerint az épület belső felületeinek (padló, fal) felújítását tervezzük, a szükséges akadálymentesítés elvégzése mellett. </w:t>
      </w:r>
    </w:p>
    <w:p w:rsidR="00B67BF8" w:rsidRPr="00E00105" w:rsidRDefault="00B67BF8" w:rsidP="00D06174">
      <w:pPr>
        <w:pStyle w:val="BodyText"/>
        <w:tabs>
          <w:tab w:val="left" w:pos="8931"/>
        </w:tabs>
        <w:spacing w:line="276" w:lineRule="auto"/>
        <w:ind w:left="0" w:right="-62"/>
        <w:jc w:val="both"/>
      </w:pPr>
      <w:r w:rsidRPr="00E00105">
        <w:t>A pályázat kiírójától tájékoztatást kértünk arra vonatkozóan, hogy jelen felhíváshoz kapcsolódóan milyen szintű akadálymentesítés elvárt. Amennyiben a projektben elegendő a projektarányos akadálymentesítés, akkor akadálymentes bejárat(ok) kialakítása, akadálymentes vizesblokk létesítése, valamint az épületben lévő helyiségek akadálymentes megközelíthetőségének kialakítása az elvárt.</w:t>
      </w:r>
    </w:p>
    <w:p w:rsidR="00B67BF8" w:rsidRPr="00E00105" w:rsidRDefault="00B67BF8" w:rsidP="00D06174">
      <w:pPr>
        <w:pStyle w:val="BodyText"/>
        <w:tabs>
          <w:tab w:val="left" w:pos="8931"/>
        </w:tabs>
        <w:spacing w:line="276" w:lineRule="auto"/>
        <w:ind w:left="0" w:right="-62"/>
        <w:jc w:val="both"/>
      </w:pPr>
      <w:r w:rsidRPr="00E00105">
        <w:t>A végleges műszaki tartalom meghatározása – figyelemmel a felhívásban foglalt feltételekre is – a tervezői felmérés során alakul ki. A benyújtandó pályázat vonatkozásában a benyújtást megelőzően külön előterjesztés készül.</w:t>
      </w:r>
    </w:p>
    <w:p w:rsidR="00B67BF8" w:rsidRPr="00E00105" w:rsidRDefault="00B67BF8" w:rsidP="00D06174">
      <w:pPr>
        <w:pStyle w:val="BodyText"/>
        <w:tabs>
          <w:tab w:val="left" w:pos="8931"/>
        </w:tabs>
        <w:spacing w:line="276" w:lineRule="auto"/>
        <w:ind w:left="0" w:right="-62"/>
        <w:jc w:val="both"/>
      </w:pPr>
    </w:p>
    <w:p w:rsidR="00B67BF8" w:rsidRPr="00E00105" w:rsidRDefault="00B67BF8" w:rsidP="00D06174">
      <w:pPr>
        <w:pStyle w:val="BodyText"/>
        <w:tabs>
          <w:tab w:val="left" w:pos="8931"/>
        </w:tabs>
        <w:spacing w:line="276" w:lineRule="auto"/>
        <w:ind w:left="0" w:right="-62"/>
        <w:jc w:val="both"/>
      </w:pPr>
      <w:r w:rsidRPr="00E00105">
        <w:t>A pályázat kötelező része az építészeti tervdokumentáció (akadálymentesítési tervfejezettel és energetikai tanúsítvány készítéssel), melyet megfelelő jogosultsággal rendelkező tervezővel kell elkészíttetni. A felkeresett tervezők a következő ajánlatokat adták:</w:t>
      </w:r>
    </w:p>
    <w:p w:rsidR="00B67BF8" w:rsidRPr="00E00105" w:rsidRDefault="00B67BF8" w:rsidP="002530F4">
      <w:pPr>
        <w:pStyle w:val="BodyText"/>
        <w:tabs>
          <w:tab w:val="left" w:pos="8931"/>
        </w:tabs>
        <w:spacing w:line="360" w:lineRule="auto"/>
        <w:ind w:left="0" w:right="-62"/>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6"/>
        <w:gridCol w:w="3511"/>
      </w:tblGrid>
      <w:tr w:rsidR="00B67BF8" w:rsidRPr="00E00105" w:rsidTr="00FD1710">
        <w:tc>
          <w:tcPr>
            <w:tcW w:w="3576" w:type="dxa"/>
          </w:tcPr>
          <w:p w:rsidR="00B67BF8" w:rsidRPr="00FD1710" w:rsidRDefault="00B67BF8" w:rsidP="00FD1710">
            <w:pPr>
              <w:pStyle w:val="BodyText"/>
              <w:tabs>
                <w:tab w:val="left" w:pos="8931"/>
              </w:tabs>
              <w:spacing w:line="360" w:lineRule="auto"/>
              <w:ind w:left="0" w:right="-62"/>
              <w:jc w:val="center"/>
              <w:rPr>
                <w:b/>
              </w:rPr>
            </w:pPr>
            <w:r w:rsidRPr="00FD1710">
              <w:rPr>
                <w:b/>
              </w:rPr>
              <w:t>Ajánlattevő</w:t>
            </w:r>
          </w:p>
        </w:tc>
        <w:tc>
          <w:tcPr>
            <w:tcW w:w="3511" w:type="dxa"/>
          </w:tcPr>
          <w:p w:rsidR="00B67BF8" w:rsidRPr="00FD1710" w:rsidRDefault="00B67BF8" w:rsidP="00FD1710">
            <w:pPr>
              <w:pStyle w:val="BodyText"/>
              <w:tabs>
                <w:tab w:val="left" w:pos="8931"/>
              </w:tabs>
              <w:spacing w:line="360" w:lineRule="auto"/>
              <w:ind w:left="0" w:right="-62"/>
              <w:jc w:val="center"/>
              <w:rPr>
                <w:b/>
              </w:rPr>
            </w:pPr>
            <w:r w:rsidRPr="00FD1710">
              <w:rPr>
                <w:b/>
              </w:rPr>
              <w:t>Ajánlati ár</w:t>
            </w:r>
          </w:p>
        </w:tc>
      </w:tr>
      <w:tr w:rsidR="00B67BF8" w:rsidRPr="00E00105" w:rsidTr="00FD1710">
        <w:tc>
          <w:tcPr>
            <w:tcW w:w="3576" w:type="dxa"/>
          </w:tcPr>
          <w:p w:rsidR="00B67BF8" w:rsidRPr="00E00105" w:rsidRDefault="00B67BF8" w:rsidP="00FD1710">
            <w:pPr>
              <w:pStyle w:val="BodyText"/>
              <w:tabs>
                <w:tab w:val="left" w:pos="8931"/>
              </w:tabs>
              <w:spacing w:line="360" w:lineRule="auto"/>
              <w:ind w:left="0" w:right="-62"/>
              <w:jc w:val="both"/>
            </w:pPr>
            <w:r w:rsidRPr="00E00105">
              <w:t>Butsyné Zabó Renáta</w:t>
            </w:r>
          </w:p>
        </w:tc>
        <w:tc>
          <w:tcPr>
            <w:tcW w:w="3511" w:type="dxa"/>
          </w:tcPr>
          <w:p w:rsidR="00B67BF8" w:rsidRPr="00E00105" w:rsidRDefault="00B67BF8" w:rsidP="00FD1710">
            <w:pPr>
              <w:pStyle w:val="BodyText"/>
              <w:tabs>
                <w:tab w:val="left" w:pos="8931"/>
              </w:tabs>
              <w:spacing w:line="360" w:lineRule="auto"/>
              <w:ind w:left="0" w:right="-62"/>
              <w:jc w:val="both"/>
            </w:pPr>
            <w:r w:rsidRPr="00E00105">
              <w:t>Bruttó 260 000 Ft</w:t>
            </w:r>
          </w:p>
        </w:tc>
      </w:tr>
      <w:tr w:rsidR="00B67BF8" w:rsidRPr="00E00105" w:rsidTr="00FD1710">
        <w:tc>
          <w:tcPr>
            <w:tcW w:w="3576" w:type="dxa"/>
          </w:tcPr>
          <w:p w:rsidR="00B67BF8" w:rsidRPr="00E00105" w:rsidRDefault="00B67BF8" w:rsidP="00FD1710">
            <w:pPr>
              <w:pStyle w:val="BodyText"/>
              <w:tabs>
                <w:tab w:val="left" w:pos="8931"/>
              </w:tabs>
              <w:spacing w:line="360" w:lineRule="auto"/>
              <w:ind w:left="0" w:right="-62"/>
              <w:jc w:val="both"/>
            </w:pPr>
            <w:r w:rsidRPr="00E00105">
              <w:t>Bakony Aqua Bt.</w:t>
            </w:r>
          </w:p>
        </w:tc>
        <w:tc>
          <w:tcPr>
            <w:tcW w:w="3511" w:type="dxa"/>
          </w:tcPr>
          <w:p w:rsidR="00B67BF8" w:rsidRPr="00E00105" w:rsidRDefault="00B67BF8" w:rsidP="00FD1710">
            <w:pPr>
              <w:pStyle w:val="BodyText"/>
              <w:tabs>
                <w:tab w:val="left" w:pos="8931"/>
              </w:tabs>
              <w:spacing w:line="360" w:lineRule="auto"/>
              <w:ind w:left="0" w:right="-62"/>
              <w:jc w:val="both"/>
            </w:pPr>
            <w:r w:rsidRPr="00E00105">
              <w:t>Bruttó 307 340 Ft</w:t>
            </w:r>
          </w:p>
        </w:tc>
      </w:tr>
      <w:tr w:rsidR="00B67BF8" w:rsidRPr="00E00105" w:rsidTr="00FD1710">
        <w:tc>
          <w:tcPr>
            <w:tcW w:w="3576" w:type="dxa"/>
          </w:tcPr>
          <w:p w:rsidR="00B67BF8" w:rsidRPr="00E00105" w:rsidRDefault="00B67BF8" w:rsidP="00FD1710">
            <w:pPr>
              <w:pStyle w:val="BodyText"/>
              <w:tabs>
                <w:tab w:val="left" w:pos="8931"/>
              </w:tabs>
              <w:spacing w:line="360" w:lineRule="auto"/>
              <w:ind w:left="0" w:right="-62"/>
              <w:jc w:val="both"/>
            </w:pPr>
            <w:r w:rsidRPr="00E00105">
              <w:t>László Katalin egyéni vállalkozó</w:t>
            </w:r>
          </w:p>
        </w:tc>
        <w:tc>
          <w:tcPr>
            <w:tcW w:w="3511" w:type="dxa"/>
          </w:tcPr>
          <w:p w:rsidR="00B67BF8" w:rsidRPr="00E00105" w:rsidRDefault="00B67BF8" w:rsidP="00FD1710">
            <w:pPr>
              <w:pStyle w:val="BodyText"/>
              <w:tabs>
                <w:tab w:val="left" w:pos="8931"/>
              </w:tabs>
              <w:spacing w:line="360" w:lineRule="auto"/>
              <w:ind w:left="0" w:right="-62"/>
              <w:jc w:val="both"/>
            </w:pPr>
            <w:r w:rsidRPr="00E00105">
              <w:t>Bruttó 200 000 Ft</w:t>
            </w:r>
          </w:p>
        </w:tc>
      </w:tr>
    </w:tbl>
    <w:p w:rsidR="00B67BF8" w:rsidRPr="00E00105" w:rsidRDefault="00B67BF8" w:rsidP="002530F4">
      <w:pPr>
        <w:pStyle w:val="BodyText"/>
        <w:tabs>
          <w:tab w:val="left" w:pos="8931"/>
        </w:tabs>
        <w:spacing w:line="360" w:lineRule="auto"/>
        <w:ind w:left="0" w:right="-62"/>
        <w:jc w:val="both"/>
      </w:pPr>
    </w:p>
    <w:p w:rsidR="00B67BF8" w:rsidRPr="00E00105" w:rsidRDefault="00B67BF8" w:rsidP="002530F4">
      <w:pPr>
        <w:pStyle w:val="BodyText"/>
        <w:tabs>
          <w:tab w:val="left" w:pos="8931"/>
        </w:tabs>
        <w:spacing w:line="360" w:lineRule="auto"/>
        <w:ind w:left="0" w:right="-62"/>
        <w:jc w:val="both"/>
      </w:pPr>
      <w:r w:rsidRPr="00E00105">
        <w:t xml:space="preserve">A pályázatunk támogatása esetén a tervezés költsége elszámolható a projekt keretében. </w:t>
      </w:r>
    </w:p>
    <w:p w:rsidR="00B67BF8" w:rsidRPr="00E00105" w:rsidRDefault="00B67BF8" w:rsidP="002530F4">
      <w:pPr>
        <w:pStyle w:val="BodyText"/>
        <w:tabs>
          <w:tab w:val="left" w:pos="8931"/>
        </w:tabs>
        <w:spacing w:line="360" w:lineRule="auto"/>
        <w:ind w:left="0" w:right="-62"/>
        <w:jc w:val="both"/>
      </w:pPr>
      <w:r w:rsidRPr="00E00105">
        <w:t xml:space="preserve">A pályázat kötelező eleme az építészeti tervdokumentáció, tehát abban az esetben is meg kell finanszíroznunk, amennyiben pályázatunk nem kerül kedvező elbírálásban. Az önkormányzat 2019. évi költségvetési rendeletének megalkotásakor megállapítást nyert, hogy szabad tartalékokkal nem rendelkezünk, ezért jelen előterjesztéshez szükséges forrást (a pályázat eredménytelensége esetén) csak előirányzatok közötti átcsoportosításokkal tudjuk biztosítani. A képviselők e célra felajánlják egy havi tiszteletdíjukat, mely járulékokkal növelt összege 118 039 forint. E forrást egészíti ki az én egy havi költségtérítésem 59 830 forintos összege. A fennmaradó 22 131 forint a Települési rendezvények soron szereplő 2 500 ezer forintos előirányzat terhére biztosítható. </w:t>
      </w:r>
    </w:p>
    <w:p w:rsidR="00B67BF8" w:rsidRPr="00E00105" w:rsidRDefault="00B67BF8">
      <w:pPr>
        <w:widowControl/>
        <w:rPr>
          <w:rFonts w:ascii="Times New Roman" w:hAnsi="Times New Roman" w:cs="Times New Roman"/>
          <w:sz w:val="24"/>
          <w:szCs w:val="24"/>
        </w:rPr>
      </w:pPr>
    </w:p>
    <w:p w:rsidR="00B67BF8" w:rsidRPr="00E00105" w:rsidRDefault="00B67BF8" w:rsidP="002530F4">
      <w:pPr>
        <w:pStyle w:val="BodyText"/>
        <w:tabs>
          <w:tab w:val="left" w:pos="8931"/>
        </w:tabs>
        <w:spacing w:line="360" w:lineRule="auto"/>
        <w:ind w:left="0" w:right="-62"/>
        <w:jc w:val="both"/>
      </w:pPr>
      <w:r w:rsidRPr="00E00105">
        <w:t xml:space="preserve">Az akadálymentesítés, mint kötelező szempont vizsgálata még folyamatban van: a Magyar Államkincstár részére a kérdés megküldésre került, válasz mai napig még nem érkezett. </w:t>
      </w:r>
    </w:p>
    <w:p w:rsidR="00B67BF8" w:rsidRPr="00E00105" w:rsidRDefault="00B67BF8" w:rsidP="002530F4">
      <w:pPr>
        <w:pStyle w:val="BodyText"/>
        <w:tabs>
          <w:tab w:val="left" w:pos="8931"/>
        </w:tabs>
        <w:spacing w:line="360" w:lineRule="auto"/>
        <w:ind w:left="0" w:right="-62"/>
        <w:jc w:val="both"/>
      </w:pPr>
    </w:p>
    <w:p w:rsidR="00B67BF8" w:rsidRPr="00E00105" w:rsidRDefault="00B67BF8" w:rsidP="002530F4">
      <w:pPr>
        <w:pStyle w:val="BodyText"/>
        <w:tabs>
          <w:tab w:val="left" w:pos="8931"/>
        </w:tabs>
        <w:spacing w:line="360" w:lineRule="auto"/>
        <w:ind w:left="0" w:right="-62"/>
        <w:jc w:val="both"/>
      </w:pPr>
      <w:r w:rsidRPr="00E00105">
        <w:t>Javasolom a legkedvezőbb ajánlatot tevő vállalkozó ajánlatának elfogadását, és megbízását a feladat ellátására azzal a két feltétellel, hogy egyrészről a Magyar Államkincstár válaszában elegendőnek minősíti a projektarányos akadálymentesítést, másrészről a tervezéssel megbízni szándékozott vállalkozó megvalósíthatónak tartja ezt jelen épületben, összhangban az energetikai felújítás előírásával, a maximális támogatási összegen belül.</w:t>
      </w:r>
    </w:p>
    <w:p w:rsidR="00B67BF8" w:rsidRPr="00E00105" w:rsidRDefault="00B67BF8" w:rsidP="002530F4">
      <w:pPr>
        <w:pStyle w:val="BodyText"/>
        <w:tabs>
          <w:tab w:val="left" w:pos="8931"/>
        </w:tabs>
        <w:spacing w:line="360" w:lineRule="auto"/>
        <w:ind w:left="0" w:right="-62"/>
        <w:jc w:val="both"/>
      </w:pPr>
    </w:p>
    <w:p w:rsidR="00B67BF8" w:rsidRPr="00E00105" w:rsidRDefault="00B67BF8" w:rsidP="00EE25B5">
      <w:pPr>
        <w:pStyle w:val="BodyText"/>
        <w:tabs>
          <w:tab w:val="left" w:pos="8931"/>
        </w:tabs>
        <w:spacing w:line="720" w:lineRule="auto"/>
        <w:ind w:left="0" w:right="-62"/>
        <w:jc w:val="both"/>
      </w:pPr>
      <w:r w:rsidRPr="00E00105">
        <w:t>Kérem az előterjesztés megtárgyalását!</w:t>
      </w:r>
    </w:p>
    <w:p w:rsidR="00B67BF8" w:rsidRPr="00E00105" w:rsidRDefault="00B67BF8" w:rsidP="00EE25B5">
      <w:pPr>
        <w:pStyle w:val="BodyText"/>
        <w:tabs>
          <w:tab w:val="left" w:pos="8931"/>
        </w:tabs>
        <w:spacing w:line="720" w:lineRule="auto"/>
        <w:ind w:left="0" w:right="-62"/>
        <w:jc w:val="both"/>
      </w:pPr>
      <w:r w:rsidRPr="00E00105">
        <w:t>Borzavár, 2019. március 26.</w:t>
      </w:r>
    </w:p>
    <w:p w:rsidR="00B67BF8" w:rsidRPr="00E00105" w:rsidRDefault="00B67BF8" w:rsidP="007920CD">
      <w:pPr>
        <w:pStyle w:val="BodyText"/>
        <w:ind w:left="0" w:right="1951"/>
        <w:jc w:val="both"/>
      </w:pPr>
      <w:r w:rsidRPr="00E00105">
        <w:tab/>
      </w:r>
      <w:r w:rsidRPr="00E00105">
        <w:tab/>
      </w:r>
      <w:r w:rsidRPr="00E00105">
        <w:tab/>
      </w:r>
    </w:p>
    <w:p w:rsidR="00B67BF8" w:rsidRPr="00E00105" w:rsidRDefault="00B67BF8" w:rsidP="002F31FB">
      <w:pPr>
        <w:pStyle w:val="BodyText"/>
        <w:tabs>
          <w:tab w:val="center" w:pos="6237"/>
        </w:tabs>
        <w:ind w:left="0" w:right="-568"/>
        <w:jc w:val="both"/>
      </w:pPr>
      <w:r w:rsidRPr="00E00105">
        <w:tab/>
        <w:t>Dócziné Belecz Ágnes</w:t>
      </w:r>
    </w:p>
    <w:p w:rsidR="00B67BF8" w:rsidRPr="00E00105" w:rsidRDefault="00B67BF8" w:rsidP="007920CD">
      <w:pPr>
        <w:pStyle w:val="BodyText"/>
        <w:tabs>
          <w:tab w:val="center" w:pos="6237"/>
        </w:tabs>
        <w:ind w:left="0" w:right="1951"/>
        <w:jc w:val="both"/>
      </w:pPr>
      <w:r w:rsidRPr="00E00105">
        <w:tab/>
        <w:t>polgármester</w:t>
      </w:r>
    </w:p>
    <w:p w:rsidR="00B67BF8" w:rsidRPr="00E00105" w:rsidRDefault="00B67BF8" w:rsidP="007920CD">
      <w:pPr>
        <w:pStyle w:val="BodyText"/>
        <w:ind w:left="0" w:right="1951"/>
        <w:jc w:val="both"/>
      </w:pPr>
    </w:p>
    <w:p w:rsidR="00B67BF8" w:rsidRPr="00E00105" w:rsidRDefault="00B67BF8" w:rsidP="00AD613F">
      <w:pPr>
        <w:pStyle w:val="BodyText"/>
        <w:ind w:right="1951"/>
        <w:jc w:val="both"/>
      </w:pPr>
    </w:p>
    <w:p w:rsidR="00B67BF8" w:rsidRPr="00E00105" w:rsidRDefault="00B67BF8">
      <w:pPr>
        <w:widowControl/>
        <w:rPr>
          <w:rFonts w:ascii="Times New Roman" w:hAnsi="Times New Roman" w:cs="Times New Roman"/>
          <w:b/>
          <w:bCs/>
          <w:sz w:val="24"/>
          <w:szCs w:val="24"/>
          <w:u w:val="single"/>
        </w:rPr>
      </w:pPr>
    </w:p>
    <w:p w:rsidR="00B67BF8" w:rsidRPr="00E00105" w:rsidRDefault="00B67BF8">
      <w:pPr>
        <w:widowControl/>
        <w:rPr>
          <w:rFonts w:ascii="Times New Roman" w:hAnsi="Times New Roman" w:cs="Times New Roman"/>
          <w:b/>
          <w:sz w:val="24"/>
          <w:szCs w:val="24"/>
        </w:rPr>
      </w:pPr>
      <w:bookmarkStart w:id="4" w:name="_Toc4484464"/>
      <w:r w:rsidRPr="00E00105">
        <w:rPr>
          <w:rFonts w:ascii="Times New Roman" w:hAnsi="Times New Roman"/>
          <w:bCs/>
          <w:i/>
          <w:iCs/>
          <w:sz w:val="24"/>
          <w:szCs w:val="24"/>
        </w:rPr>
        <w:br w:type="page"/>
      </w:r>
    </w:p>
    <w:p w:rsidR="00B67BF8" w:rsidRPr="00E00105" w:rsidRDefault="00B67BF8" w:rsidP="00405E07">
      <w:pPr>
        <w:pStyle w:val="Heading4"/>
        <w:keepNext w:val="0"/>
        <w:keepLines w:val="0"/>
        <w:jc w:val="center"/>
        <w:rPr>
          <w:rFonts w:ascii="Times New Roman" w:hAnsi="Times New Roman"/>
          <w:bCs w:val="0"/>
          <w:i w:val="0"/>
          <w:iCs w:val="0"/>
          <w:color w:val="auto"/>
          <w:sz w:val="24"/>
          <w:szCs w:val="24"/>
        </w:rPr>
      </w:pPr>
      <w:r w:rsidRPr="00E00105">
        <w:rPr>
          <w:rFonts w:ascii="Times New Roman" w:hAnsi="Times New Roman"/>
          <w:bCs w:val="0"/>
          <w:i w:val="0"/>
          <w:iCs w:val="0"/>
          <w:color w:val="auto"/>
          <w:sz w:val="24"/>
          <w:szCs w:val="24"/>
        </w:rPr>
        <w:t>Határozati javaslat</w:t>
      </w:r>
      <w:bookmarkEnd w:id="4"/>
    </w:p>
    <w:p w:rsidR="00B67BF8" w:rsidRPr="00E00105" w:rsidRDefault="00B67BF8" w:rsidP="00405E07">
      <w:pPr>
        <w:pStyle w:val="Heading4"/>
        <w:keepNext w:val="0"/>
        <w:keepLines w:val="0"/>
        <w:jc w:val="center"/>
        <w:rPr>
          <w:rFonts w:ascii="Times New Roman" w:hAnsi="Times New Roman"/>
          <w:bCs w:val="0"/>
          <w:i w:val="0"/>
          <w:iCs w:val="0"/>
          <w:color w:val="auto"/>
          <w:sz w:val="24"/>
          <w:szCs w:val="24"/>
        </w:rPr>
      </w:pPr>
      <w:bookmarkStart w:id="5" w:name="_Toc4484465"/>
      <w:r w:rsidRPr="00E00105">
        <w:rPr>
          <w:rFonts w:ascii="Times New Roman" w:hAnsi="Times New Roman"/>
          <w:bCs w:val="0"/>
          <w:i w:val="0"/>
          <w:iCs w:val="0"/>
          <w:color w:val="auto"/>
          <w:sz w:val="24"/>
          <w:szCs w:val="24"/>
        </w:rPr>
        <w:t>Borzavár Községi Önkormányzat Képviselő-testületének</w:t>
      </w:r>
      <w:bookmarkEnd w:id="5"/>
    </w:p>
    <w:p w:rsidR="00B67BF8" w:rsidRPr="00E00105" w:rsidRDefault="00B67BF8" w:rsidP="00405E07">
      <w:pPr>
        <w:jc w:val="center"/>
        <w:rPr>
          <w:rFonts w:ascii="Times New Roman" w:hAnsi="Times New Roman" w:cs="Times New Roman"/>
          <w:b/>
          <w:sz w:val="24"/>
          <w:szCs w:val="24"/>
        </w:rPr>
      </w:pPr>
    </w:p>
    <w:p w:rsidR="00B67BF8" w:rsidRPr="00E00105" w:rsidRDefault="00B67BF8" w:rsidP="00405E07">
      <w:pPr>
        <w:jc w:val="center"/>
        <w:rPr>
          <w:rFonts w:ascii="Times New Roman" w:hAnsi="Times New Roman" w:cs="Times New Roman"/>
          <w:b/>
          <w:sz w:val="24"/>
          <w:szCs w:val="24"/>
        </w:rPr>
      </w:pPr>
      <w:r w:rsidRPr="00E00105">
        <w:rPr>
          <w:rFonts w:ascii="Times New Roman" w:hAnsi="Times New Roman" w:cs="Times New Roman"/>
          <w:b/>
          <w:sz w:val="24"/>
          <w:szCs w:val="24"/>
        </w:rPr>
        <w:t>…/2019. (III. 27.) határozata</w:t>
      </w:r>
    </w:p>
    <w:p w:rsidR="00B67BF8" w:rsidRPr="00E00105" w:rsidRDefault="00B67BF8" w:rsidP="00405E07">
      <w:pPr>
        <w:rPr>
          <w:rFonts w:ascii="Times New Roman" w:hAnsi="Times New Roman" w:cs="Times New Roman"/>
          <w:b/>
          <w:sz w:val="24"/>
          <w:szCs w:val="24"/>
        </w:rPr>
      </w:pPr>
    </w:p>
    <w:p w:rsidR="00B67BF8" w:rsidRPr="00E00105" w:rsidRDefault="00B67BF8" w:rsidP="00405E07">
      <w:pPr>
        <w:rPr>
          <w:rFonts w:ascii="Times New Roman" w:hAnsi="Times New Roman" w:cs="Times New Roman"/>
          <w:sz w:val="24"/>
          <w:szCs w:val="24"/>
        </w:rPr>
      </w:pPr>
    </w:p>
    <w:p w:rsidR="00B67BF8" w:rsidRPr="00E00105" w:rsidRDefault="00B67BF8" w:rsidP="00405E07">
      <w:pPr>
        <w:tabs>
          <w:tab w:val="left" w:pos="709"/>
        </w:tabs>
        <w:jc w:val="both"/>
        <w:rPr>
          <w:rFonts w:ascii="Times New Roman" w:hAnsi="Times New Roman" w:cs="Times New Roman"/>
          <w:sz w:val="24"/>
          <w:szCs w:val="24"/>
        </w:rPr>
      </w:pPr>
      <w:r w:rsidRPr="00E00105">
        <w:rPr>
          <w:rFonts w:ascii="Times New Roman" w:hAnsi="Times New Roman" w:cs="Times New Roman"/>
          <w:sz w:val="24"/>
          <w:szCs w:val="24"/>
        </w:rPr>
        <w:t xml:space="preserve">1./ </w:t>
      </w:r>
      <w:r w:rsidRPr="00E00105">
        <w:rPr>
          <w:rFonts w:ascii="Times New Roman" w:hAnsi="Times New Roman" w:cs="Times New Roman"/>
          <w:sz w:val="24"/>
          <w:szCs w:val="24"/>
        </w:rPr>
        <w:tab/>
        <w:t>Borzavár Községi Önkormányzat Képviselő-testülete a Magyar Falu Program MFP-NHI/2019 kódszámú felhívására benyújtandó pályázat építész tervdokumentáció elkészítésére vonatkozóan elfogadja László Katalin egyéni vállalkozó (Székhely: 8200 Veszprém, Endrődi Sándor utca 42/D. 13. lakás) vállalkozás ajánlatát bruttó 200 000 Ft (alanyi ÁFA-mentes) összegben.</w:t>
      </w:r>
    </w:p>
    <w:p w:rsidR="00B67BF8" w:rsidRPr="00E00105" w:rsidRDefault="00B67BF8" w:rsidP="00405E07">
      <w:pPr>
        <w:tabs>
          <w:tab w:val="left" w:pos="709"/>
        </w:tabs>
        <w:jc w:val="both"/>
        <w:rPr>
          <w:rFonts w:ascii="Times New Roman" w:hAnsi="Times New Roman" w:cs="Times New Roman"/>
          <w:sz w:val="24"/>
          <w:szCs w:val="24"/>
        </w:rPr>
      </w:pPr>
    </w:p>
    <w:p w:rsidR="00B67BF8" w:rsidRPr="00E00105" w:rsidRDefault="00B67BF8" w:rsidP="00405E07">
      <w:pPr>
        <w:tabs>
          <w:tab w:val="left" w:pos="709"/>
        </w:tabs>
        <w:jc w:val="both"/>
        <w:rPr>
          <w:rFonts w:ascii="Times New Roman" w:hAnsi="Times New Roman" w:cs="Times New Roman"/>
          <w:sz w:val="24"/>
          <w:szCs w:val="24"/>
        </w:rPr>
      </w:pPr>
      <w:r w:rsidRPr="00E00105">
        <w:rPr>
          <w:rFonts w:ascii="Times New Roman" w:hAnsi="Times New Roman" w:cs="Times New Roman"/>
          <w:sz w:val="24"/>
          <w:szCs w:val="24"/>
        </w:rPr>
        <w:t xml:space="preserve">2./ A Képviselő-testület a megbízás forrását nyertes pályázat esetén a pályázat költségvetéséből, eredménytelen pályázat esetén a polgármester költségtérítésének és a képviselők tiszteletdíj lemondásának eredményeképpen felszabaduló forrás, továbbá </w:t>
      </w:r>
      <w:bookmarkStart w:id="6" w:name="_GoBack"/>
      <w:bookmarkEnd w:id="6"/>
      <w:r w:rsidRPr="00E00105">
        <w:rPr>
          <w:rFonts w:ascii="Times New Roman" w:hAnsi="Times New Roman" w:cs="Times New Roman"/>
          <w:sz w:val="24"/>
          <w:szCs w:val="24"/>
        </w:rPr>
        <w:t>22 131 forint összegben az Önkormányzat 2019. évi költségvetéséről szóló 2/2019.(III.4.) önkormányzati rendelet 5. melléklet Települési rendezvények elnevezésű dologi kiadások előirányzatából történő átcsoportosítás terhére biztosítja.</w:t>
      </w:r>
    </w:p>
    <w:p w:rsidR="00B67BF8" w:rsidRPr="00E00105" w:rsidRDefault="00B67BF8" w:rsidP="00405E07">
      <w:pPr>
        <w:tabs>
          <w:tab w:val="left" w:pos="709"/>
        </w:tabs>
        <w:jc w:val="both"/>
        <w:rPr>
          <w:rFonts w:ascii="Times New Roman" w:hAnsi="Times New Roman" w:cs="Times New Roman"/>
          <w:sz w:val="24"/>
          <w:szCs w:val="24"/>
        </w:rPr>
      </w:pPr>
    </w:p>
    <w:p w:rsidR="00B67BF8" w:rsidRPr="00E00105" w:rsidRDefault="00B67BF8" w:rsidP="00E00105">
      <w:pPr>
        <w:pStyle w:val="Title"/>
        <w:suppressAutoHyphens/>
        <w:jc w:val="both"/>
        <w:rPr>
          <w:b w:val="0"/>
          <w:szCs w:val="24"/>
          <w:u w:val="none"/>
        </w:rPr>
      </w:pPr>
      <w:r w:rsidRPr="00E00105">
        <w:rPr>
          <w:b w:val="0"/>
          <w:szCs w:val="24"/>
          <w:u w:val="none"/>
        </w:rPr>
        <w:t>3./ A Képviselő-testület felhatalmazza a polgármestert a vállalkozási szerződés megkötésére azzal a feltétellel, hogy a Magyar Államkincstártól az akadálymentesítés kapcsán válasz érkezik és a projekt kötelező elemei a maximális igényelhető támogatáson belül megvalósíthatóak.</w:t>
      </w:r>
    </w:p>
    <w:p w:rsidR="00B67BF8" w:rsidRPr="00E00105" w:rsidRDefault="00B67BF8" w:rsidP="00405E07">
      <w:pPr>
        <w:tabs>
          <w:tab w:val="left" w:pos="709"/>
        </w:tabs>
        <w:jc w:val="both"/>
        <w:rPr>
          <w:rFonts w:ascii="Times New Roman" w:hAnsi="Times New Roman" w:cs="Times New Roman"/>
          <w:sz w:val="24"/>
          <w:szCs w:val="24"/>
        </w:rPr>
      </w:pPr>
    </w:p>
    <w:p w:rsidR="00B67BF8" w:rsidRPr="00E00105" w:rsidRDefault="00B67BF8" w:rsidP="00405E07">
      <w:pPr>
        <w:rPr>
          <w:rFonts w:ascii="Times New Roman" w:hAnsi="Times New Roman" w:cs="Times New Roman"/>
          <w:sz w:val="24"/>
          <w:szCs w:val="24"/>
        </w:rPr>
      </w:pPr>
      <w:r w:rsidRPr="00E00105">
        <w:rPr>
          <w:rFonts w:ascii="Times New Roman" w:hAnsi="Times New Roman" w:cs="Times New Roman"/>
          <w:sz w:val="24"/>
          <w:szCs w:val="24"/>
        </w:rPr>
        <w:t xml:space="preserve">Felelős: </w:t>
      </w:r>
      <w:r w:rsidRPr="00E00105">
        <w:rPr>
          <w:rFonts w:ascii="Times New Roman" w:hAnsi="Times New Roman" w:cs="Times New Roman"/>
          <w:sz w:val="24"/>
          <w:szCs w:val="24"/>
        </w:rPr>
        <w:tab/>
        <w:t>Dócziné Belecz Ágnes polgármester</w:t>
      </w:r>
    </w:p>
    <w:p w:rsidR="00B67BF8" w:rsidRPr="00E00105" w:rsidRDefault="00B67BF8" w:rsidP="00405E07">
      <w:pPr>
        <w:rPr>
          <w:rFonts w:ascii="Times New Roman" w:hAnsi="Times New Roman" w:cs="Times New Roman"/>
          <w:sz w:val="24"/>
          <w:szCs w:val="24"/>
        </w:rPr>
      </w:pPr>
      <w:r w:rsidRPr="00E00105">
        <w:rPr>
          <w:rFonts w:ascii="Times New Roman" w:hAnsi="Times New Roman" w:cs="Times New Roman"/>
          <w:sz w:val="24"/>
          <w:szCs w:val="24"/>
        </w:rPr>
        <w:t xml:space="preserve">Határidő: </w:t>
      </w:r>
      <w:r w:rsidRPr="00E00105">
        <w:rPr>
          <w:rFonts w:ascii="Times New Roman" w:hAnsi="Times New Roman" w:cs="Times New Roman"/>
          <w:sz w:val="24"/>
          <w:szCs w:val="24"/>
        </w:rPr>
        <w:tab/>
        <w:t>1./ és 2./ pontok esetében: azonnal</w:t>
      </w:r>
    </w:p>
    <w:p w:rsidR="00B67BF8" w:rsidRPr="00E00105" w:rsidRDefault="00B67BF8" w:rsidP="00405E07">
      <w:pPr>
        <w:rPr>
          <w:rFonts w:ascii="Times New Roman" w:hAnsi="Times New Roman" w:cs="Times New Roman"/>
          <w:sz w:val="24"/>
          <w:szCs w:val="24"/>
        </w:rPr>
      </w:pPr>
      <w:r w:rsidRPr="00E00105">
        <w:rPr>
          <w:rFonts w:ascii="Times New Roman" w:hAnsi="Times New Roman" w:cs="Times New Roman"/>
          <w:sz w:val="24"/>
          <w:szCs w:val="24"/>
        </w:rPr>
        <w:tab/>
      </w:r>
      <w:r w:rsidRPr="00E00105">
        <w:rPr>
          <w:rFonts w:ascii="Times New Roman" w:hAnsi="Times New Roman" w:cs="Times New Roman"/>
          <w:sz w:val="24"/>
          <w:szCs w:val="24"/>
        </w:rPr>
        <w:tab/>
        <w:t>3./ pont esetében: folyamatos</w:t>
      </w:r>
    </w:p>
    <w:p w:rsidR="00B67BF8" w:rsidRPr="00E00105" w:rsidRDefault="00B67BF8" w:rsidP="00AD613F">
      <w:pPr>
        <w:pStyle w:val="Heading2"/>
        <w:spacing w:before="57"/>
        <w:ind w:left="101"/>
        <w:jc w:val="center"/>
        <w:rPr>
          <w:b w:val="0"/>
          <w:bCs w:val="0"/>
          <w:u w:val="none"/>
        </w:rPr>
      </w:pPr>
    </w:p>
    <w:sectPr w:rsidR="00B67BF8" w:rsidRPr="00E00105" w:rsidSect="009D013A">
      <w:pgSz w:w="11910" w:h="16840"/>
      <w:pgMar w:top="1843" w:right="1562" w:bottom="1985"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24249"/>
    <w:multiLevelType w:val="hybridMultilevel"/>
    <w:tmpl w:val="98E06C82"/>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646E23A3"/>
    <w:multiLevelType w:val="hybridMultilevel"/>
    <w:tmpl w:val="A1BC4292"/>
    <w:lvl w:ilvl="0" w:tplc="6B0C3274">
      <w:start w:val="1"/>
      <w:numFmt w:val="decimal"/>
      <w:lvlText w:val="%1"/>
      <w:lvlJc w:val="left"/>
      <w:pPr>
        <w:ind w:left="461" w:hanging="121"/>
      </w:pPr>
      <w:rPr>
        <w:rFonts w:ascii="Times New Roman" w:eastAsia="Times New Roman" w:hAnsi="Times New Roman" w:cs="Times New Roman" w:hint="default"/>
        <w:sz w:val="24"/>
        <w:szCs w:val="24"/>
      </w:rPr>
    </w:lvl>
    <w:lvl w:ilvl="1" w:tplc="08308116">
      <w:start w:val="1"/>
      <w:numFmt w:val="bullet"/>
      <w:lvlText w:val="•"/>
      <w:lvlJc w:val="left"/>
      <w:pPr>
        <w:ind w:left="816" w:hanging="121"/>
      </w:pPr>
      <w:rPr>
        <w:rFonts w:hint="default"/>
      </w:rPr>
    </w:lvl>
    <w:lvl w:ilvl="2" w:tplc="C1D6A84A">
      <w:start w:val="1"/>
      <w:numFmt w:val="bullet"/>
      <w:lvlText w:val="•"/>
      <w:lvlJc w:val="left"/>
      <w:pPr>
        <w:ind w:left="1181" w:hanging="121"/>
      </w:pPr>
      <w:rPr>
        <w:rFonts w:hint="default"/>
      </w:rPr>
    </w:lvl>
    <w:lvl w:ilvl="3" w:tplc="D0EEFB2E">
      <w:start w:val="1"/>
      <w:numFmt w:val="bullet"/>
      <w:lvlText w:val="•"/>
      <w:lvlJc w:val="left"/>
      <w:pPr>
        <w:ind w:left="2864" w:hanging="121"/>
      </w:pPr>
      <w:rPr>
        <w:rFonts w:hint="default"/>
      </w:rPr>
    </w:lvl>
    <w:lvl w:ilvl="4" w:tplc="CC8493DA">
      <w:start w:val="1"/>
      <w:numFmt w:val="bullet"/>
      <w:lvlText w:val="•"/>
      <w:lvlJc w:val="left"/>
      <w:pPr>
        <w:ind w:left="3741" w:hanging="121"/>
      </w:pPr>
      <w:rPr>
        <w:rFonts w:hint="default"/>
      </w:rPr>
    </w:lvl>
    <w:lvl w:ilvl="5" w:tplc="8938A35E">
      <w:start w:val="1"/>
      <w:numFmt w:val="bullet"/>
      <w:lvlText w:val="•"/>
      <w:lvlJc w:val="left"/>
      <w:pPr>
        <w:ind w:left="4618" w:hanging="121"/>
      </w:pPr>
      <w:rPr>
        <w:rFonts w:hint="default"/>
      </w:rPr>
    </w:lvl>
    <w:lvl w:ilvl="6" w:tplc="B816C342">
      <w:start w:val="1"/>
      <w:numFmt w:val="bullet"/>
      <w:lvlText w:val="•"/>
      <w:lvlJc w:val="left"/>
      <w:pPr>
        <w:ind w:left="5495" w:hanging="121"/>
      </w:pPr>
      <w:rPr>
        <w:rFonts w:hint="default"/>
      </w:rPr>
    </w:lvl>
    <w:lvl w:ilvl="7" w:tplc="74B47C10">
      <w:start w:val="1"/>
      <w:numFmt w:val="bullet"/>
      <w:lvlText w:val="•"/>
      <w:lvlJc w:val="left"/>
      <w:pPr>
        <w:ind w:left="6373" w:hanging="121"/>
      </w:pPr>
      <w:rPr>
        <w:rFonts w:hint="default"/>
      </w:rPr>
    </w:lvl>
    <w:lvl w:ilvl="8" w:tplc="0846C9AC">
      <w:start w:val="1"/>
      <w:numFmt w:val="bullet"/>
      <w:lvlText w:val="•"/>
      <w:lvlJc w:val="left"/>
      <w:pPr>
        <w:ind w:left="7250" w:hanging="121"/>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705"/>
    <w:rsid w:val="00002A46"/>
    <w:rsid w:val="00016F85"/>
    <w:rsid w:val="00031F47"/>
    <w:rsid w:val="0004451E"/>
    <w:rsid w:val="0005216F"/>
    <w:rsid w:val="00054995"/>
    <w:rsid w:val="00090233"/>
    <w:rsid w:val="00096F0E"/>
    <w:rsid w:val="000D34C4"/>
    <w:rsid w:val="000E6705"/>
    <w:rsid w:val="000F0F90"/>
    <w:rsid w:val="001306A8"/>
    <w:rsid w:val="00146035"/>
    <w:rsid w:val="00171B3B"/>
    <w:rsid w:val="001752BA"/>
    <w:rsid w:val="00192188"/>
    <w:rsid w:val="00195C53"/>
    <w:rsid w:val="001C18EA"/>
    <w:rsid w:val="00227713"/>
    <w:rsid w:val="002530F4"/>
    <w:rsid w:val="002559B6"/>
    <w:rsid w:val="00267F96"/>
    <w:rsid w:val="00281157"/>
    <w:rsid w:val="0029003C"/>
    <w:rsid w:val="002A471E"/>
    <w:rsid w:val="002F31FB"/>
    <w:rsid w:val="003311DB"/>
    <w:rsid w:val="00335A96"/>
    <w:rsid w:val="003779C4"/>
    <w:rsid w:val="00384F3D"/>
    <w:rsid w:val="003875B1"/>
    <w:rsid w:val="003C34EF"/>
    <w:rsid w:val="003D46B4"/>
    <w:rsid w:val="003E252A"/>
    <w:rsid w:val="003F3D5F"/>
    <w:rsid w:val="003F4A66"/>
    <w:rsid w:val="0040538E"/>
    <w:rsid w:val="00405E07"/>
    <w:rsid w:val="00437803"/>
    <w:rsid w:val="00441278"/>
    <w:rsid w:val="00447857"/>
    <w:rsid w:val="004502B5"/>
    <w:rsid w:val="00491BB6"/>
    <w:rsid w:val="004D2D5B"/>
    <w:rsid w:val="00501F07"/>
    <w:rsid w:val="00507C94"/>
    <w:rsid w:val="00511955"/>
    <w:rsid w:val="00537ECF"/>
    <w:rsid w:val="005538D2"/>
    <w:rsid w:val="00566A5F"/>
    <w:rsid w:val="00577161"/>
    <w:rsid w:val="00647590"/>
    <w:rsid w:val="00653BFD"/>
    <w:rsid w:val="006628D5"/>
    <w:rsid w:val="006B23B7"/>
    <w:rsid w:val="006D0302"/>
    <w:rsid w:val="006D1D28"/>
    <w:rsid w:val="006D4758"/>
    <w:rsid w:val="00747C88"/>
    <w:rsid w:val="0075713A"/>
    <w:rsid w:val="007869A1"/>
    <w:rsid w:val="007920CD"/>
    <w:rsid w:val="007A7590"/>
    <w:rsid w:val="007A7D41"/>
    <w:rsid w:val="007B28B5"/>
    <w:rsid w:val="00826B7C"/>
    <w:rsid w:val="00836E05"/>
    <w:rsid w:val="0086691B"/>
    <w:rsid w:val="00871A9C"/>
    <w:rsid w:val="008A0DF9"/>
    <w:rsid w:val="008E4276"/>
    <w:rsid w:val="008E6D60"/>
    <w:rsid w:val="008E7F37"/>
    <w:rsid w:val="00927B91"/>
    <w:rsid w:val="00952E17"/>
    <w:rsid w:val="009548DC"/>
    <w:rsid w:val="009B512B"/>
    <w:rsid w:val="009C374D"/>
    <w:rsid w:val="009D013A"/>
    <w:rsid w:val="009D48CA"/>
    <w:rsid w:val="00A36C2E"/>
    <w:rsid w:val="00A459FE"/>
    <w:rsid w:val="00A565B2"/>
    <w:rsid w:val="00A87D93"/>
    <w:rsid w:val="00AA241F"/>
    <w:rsid w:val="00AA2EAB"/>
    <w:rsid w:val="00AD613F"/>
    <w:rsid w:val="00AE2689"/>
    <w:rsid w:val="00B1159A"/>
    <w:rsid w:val="00B115A6"/>
    <w:rsid w:val="00B16C7D"/>
    <w:rsid w:val="00B336BB"/>
    <w:rsid w:val="00B40F69"/>
    <w:rsid w:val="00B6769D"/>
    <w:rsid w:val="00B67BF8"/>
    <w:rsid w:val="00B70E4F"/>
    <w:rsid w:val="00B71566"/>
    <w:rsid w:val="00B92C1E"/>
    <w:rsid w:val="00B97FF0"/>
    <w:rsid w:val="00BA3CF9"/>
    <w:rsid w:val="00BA3FD8"/>
    <w:rsid w:val="00BA44E2"/>
    <w:rsid w:val="00BD377A"/>
    <w:rsid w:val="00BE007C"/>
    <w:rsid w:val="00BE0175"/>
    <w:rsid w:val="00C064A7"/>
    <w:rsid w:val="00C25F48"/>
    <w:rsid w:val="00C360D3"/>
    <w:rsid w:val="00C438C3"/>
    <w:rsid w:val="00C56D8B"/>
    <w:rsid w:val="00C91521"/>
    <w:rsid w:val="00C9509F"/>
    <w:rsid w:val="00CA4AA8"/>
    <w:rsid w:val="00CA7189"/>
    <w:rsid w:val="00CB1D02"/>
    <w:rsid w:val="00CC5F41"/>
    <w:rsid w:val="00CD1B96"/>
    <w:rsid w:val="00CE452D"/>
    <w:rsid w:val="00D06174"/>
    <w:rsid w:val="00D33CE1"/>
    <w:rsid w:val="00D37A4D"/>
    <w:rsid w:val="00D426A9"/>
    <w:rsid w:val="00D44AC7"/>
    <w:rsid w:val="00D52F4A"/>
    <w:rsid w:val="00D555DE"/>
    <w:rsid w:val="00D65D79"/>
    <w:rsid w:val="00D664FB"/>
    <w:rsid w:val="00D67C0C"/>
    <w:rsid w:val="00D72DD2"/>
    <w:rsid w:val="00D95B9B"/>
    <w:rsid w:val="00D95CDF"/>
    <w:rsid w:val="00DB39C5"/>
    <w:rsid w:val="00DC0106"/>
    <w:rsid w:val="00E00105"/>
    <w:rsid w:val="00E34CB0"/>
    <w:rsid w:val="00E72012"/>
    <w:rsid w:val="00E72650"/>
    <w:rsid w:val="00E902CB"/>
    <w:rsid w:val="00E9515B"/>
    <w:rsid w:val="00ED7D2B"/>
    <w:rsid w:val="00EE25B5"/>
    <w:rsid w:val="00EE2C3C"/>
    <w:rsid w:val="00EE4353"/>
    <w:rsid w:val="00F23AEE"/>
    <w:rsid w:val="00F301D8"/>
    <w:rsid w:val="00F54F2E"/>
    <w:rsid w:val="00F870FF"/>
    <w:rsid w:val="00FA452F"/>
    <w:rsid w:val="00FA7AAD"/>
    <w:rsid w:val="00FC5C96"/>
    <w:rsid w:val="00FD171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37"/>
    <w:pPr>
      <w:widowControl w:val="0"/>
    </w:pPr>
    <w:rPr>
      <w:rFonts w:cs="Calibri"/>
      <w:lang w:eastAsia="en-US"/>
    </w:rPr>
  </w:style>
  <w:style w:type="paragraph" w:styleId="Heading1">
    <w:name w:val="heading 1"/>
    <w:basedOn w:val="Normal"/>
    <w:link w:val="Heading1Char"/>
    <w:uiPriority w:val="99"/>
    <w:qFormat/>
    <w:rsid w:val="008E7F37"/>
    <w:pPr>
      <w:spacing w:before="38"/>
      <w:ind w:left="101"/>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9"/>
    <w:qFormat/>
    <w:rsid w:val="008E7F37"/>
    <w:pPr>
      <w:ind w:left="1929"/>
      <w:outlineLvl w:val="1"/>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9"/>
    <w:qFormat/>
    <w:locked/>
    <w:rsid w:val="00405E07"/>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6A5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66A5F"/>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405E07"/>
    <w:rPr>
      <w:rFonts w:ascii="Cambria" w:hAnsi="Cambria" w:cs="Times New Roman"/>
      <w:b/>
      <w:bCs/>
      <w:i/>
      <w:iCs/>
      <w:color w:val="4F81BD"/>
      <w:lang w:eastAsia="en-US"/>
    </w:rPr>
  </w:style>
  <w:style w:type="table" w:customStyle="1" w:styleId="TableNormal1">
    <w:name w:val="Table Normal1"/>
    <w:uiPriority w:val="99"/>
    <w:semiHidden/>
    <w:rsid w:val="008E7F37"/>
    <w:pPr>
      <w:widowControl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8E7F37"/>
    <w:pPr>
      <w:ind w:left="10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locked/>
    <w:rsid w:val="00566A5F"/>
    <w:rPr>
      <w:rFonts w:cs="Calibri"/>
      <w:lang w:eastAsia="en-US"/>
    </w:rPr>
  </w:style>
  <w:style w:type="paragraph" w:styleId="ListParagraph">
    <w:name w:val="List Paragraph"/>
    <w:basedOn w:val="Normal"/>
    <w:uiPriority w:val="99"/>
    <w:qFormat/>
    <w:rsid w:val="008E7F37"/>
  </w:style>
  <w:style w:type="paragraph" w:customStyle="1" w:styleId="TableParagraph">
    <w:name w:val="Table Paragraph"/>
    <w:basedOn w:val="Normal"/>
    <w:uiPriority w:val="99"/>
    <w:rsid w:val="008E7F37"/>
  </w:style>
  <w:style w:type="character" w:styleId="Hyperlink">
    <w:name w:val="Hyperlink"/>
    <w:basedOn w:val="DefaultParagraphFont"/>
    <w:uiPriority w:val="99"/>
    <w:rsid w:val="00CC5F41"/>
    <w:rPr>
      <w:rFonts w:cs="Times New Roman"/>
      <w:color w:val="0000FF"/>
      <w:u w:val="single"/>
    </w:rPr>
  </w:style>
  <w:style w:type="table" w:styleId="TableGrid">
    <w:name w:val="Table Grid"/>
    <w:basedOn w:val="TableNormal"/>
    <w:uiPriority w:val="99"/>
    <w:locked/>
    <w:rsid w:val="003D46B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locked/>
    <w:rsid w:val="00927B91"/>
    <w:pPr>
      <w:widowControl/>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uiPriority w:val="99"/>
    <w:locked/>
    <w:rsid w:val="00927B91"/>
    <w:rPr>
      <w:rFonts w:ascii="Times New Roman" w:hAnsi="Times New Roman" w:cs="Times New Roman"/>
      <w:b/>
      <w:sz w:val="20"/>
      <w:szCs w:val="20"/>
      <w:u w:val="single"/>
    </w:rPr>
  </w:style>
</w:styles>
</file>

<file path=word/webSettings.xml><?xml version="1.0" encoding="utf-8"?>
<w:webSettings xmlns:r="http://schemas.openxmlformats.org/officeDocument/2006/relationships" xmlns:w="http://schemas.openxmlformats.org/wordprocessingml/2006/main">
  <w:divs>
    <w:div w:id="985354317">
      <w:marLeft w:val="0"/>
      <w:marRight w:val="0"/>
      <w:marTop w:val="0"/>
      <w:marBottom w:val="0"/>
      <w:divBdr>
        <w:top w:val="none" w:sz="0" w:space="0" w:color="auto"/>
        <w:left w:val="none" w:sz="0" w:space="0" w:color="auto"/>
        <w:bottom w:val="none" w:sz="0" w:space="0" w:color="auto"/>
        <w:right w:val="none" w:sz="0" w:space="0" w:color="auto"/>
      </w:divBdr>
      <w:divsChild>
        <w:div w:id="98535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739</Words>
  <Characters>5106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L Ő T E R J E S Z T É S</dc:title>
  <dc:subject/>
  <dc:creator>Polgármesteri Hivatal Zirc</dc:creator>
  <cp:keywords/>
  <dc:description/>
  <cp:lastModifiedBy>TI</cp:lastModifiedBy>
  <cp:revision>2</cp:revision>
  <cp:lastPrinted>2019-03-26T10:34:00Z</cp:lastPrinted>
  <dcterms:created xsi:type="dcterms:W3CDTF">2019-03-26T12:51:00Z</dcterms:created>
  <dcterms:modified xsi:type="dcterms:W3CDTF">2019-03-26T12:51:00Z</dcterms:modified>
</cp:coreProperties>
</file>